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61" w:lineRule="auto" w:before="48"/>
        <w:ind w:left="4423" w:right="2366" w:hanging="1913"/>
        <w:jc w:val="left"/>
        <w:rPr>
          <w:rFonts w:ascii="Calibri" w:hAnsi="Calibri"/>
          <w:b/>
          <w:sz w:val="19"/>
        </w:rPr>
      </w:pPr>
      <w:r>
        <w:rPr>
          <w:rFonts w:ascii="Calibri" w:hAnsi="Calibri"/>
          <w:b/>
          <w:sz w:val="19"/>
        </w:rPr>
        <w:t>Resultado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Processo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Seletivo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para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Aquisição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de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Bens,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Materiais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e</w:t>
      </w:r>
      <w:r>
        <w:rPr>
          <w:spacing w:val="-11"/>
          <w:sz w:val="19"/>
        </w:rPr>
        <w:t> </w:t>
      </w:r>
      <w:r>
        <w:rPr>
          <w:rFonts w:ascii="Calibri" w:hAnsi="Calibri"/>
          <w:b/>
          <w:sz w:val="19"/>
        </w:rPr>
        <w:t>Serviços</w:t>
      </w:r>
      <w:r>
        <w:rPr>
          <w:sz w:val="19"/>
        </w:rPr>
        <w:t> </w:t>
      </w:r>
      <w:r>
        <w:rPr>
          <w:rFonts w:ascii="Calibri" w:hAnsi="Calibri"/>
          <w:b/>
          <w:sz w:val="19"/>
        </w:rPr>
        <w:t>N°</w:t>
      </w:r>
      <w:r>
        <w:rPr>
          <w:spacing w:val="-3"/>
          <w:sz w:val="19"/>
        </w:rPr>
        <w:t> </w:t>
      </w:r>
      <w:r>
        <w:rPr>
          <w:rFonts w:ascii="Calibri" w:hAnsi="Calibri"/>
          <w:b/>
          <w:sz w:val="19"/>
        </w:rPr>
        <w:t>20191903S012HUAPA</w:t>
      </w:r>
    </w:p>
    <w:p>
      <w:pPr>
        <w:pStyle w:val="BodyText"/>
        <w:spacing w:line="261" w:lineRule="auto"/>
        <w:ind w:left="154" w:right="177"/>
      </w:pPr>
      <w:r>
        <w:rPr/>
        <w:t>O</w:t>
      </w:r>
      <w:r>
        <w:rPr>
          <w:rFonts w:ascii="Times New Roman" w:hAnsi="Times New Roman"/>
        </w:rPr>
        <w:t> </w:t>
      </w:r>
      <w:r>
        <w:rPr/>
        <w:t>Instituto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Gestão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Humanização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IGH,</w:t>
      </w:r>
      <w:r>
        <w:rPr>
          <w:rFonts w:ascii="Times New Roman" w:hAnsi="Times New Roman"/>
        </w:rPr>
        <w:t> </w:t>
      </w:r>
      <w:r>
        <w:rPr/>
        <w:t>entidade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direito</w:t>
      </w:r>
      <w:r>
        <w:rPr>
          <w:rFonts w:ascii="Times New Roman" w:hAnsi="Times New Roman"/>
        </w:rPr>
        <w:t> </w:t>
      </w:r>
      <w:r>
        <w:rPr/>
        <w:t>privado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sem</w:t>
      </w:r>
      <w:r>
        <w:rPr>
          <w:rFonts w:ascii="Times New Roman" w:hAnsi="Times New Roman"/>
        </w:rPr>
        <w:t> </w:t>
      </w:r>
      <w:r>
        <w:rPr/>
        <w:t>fins</w:t>
      </w:r>
      <w:r>
        <w:rPr>
          <w:rFonts w:ascii="Times New Roman" w:hAnsi="Times New Roman"/>
        </w:rPr>
        <w:t> </w:t>
      </w:r>
      <w:r>
        <w:rPr/>
        <w:t>lucrativos,</w:t>
      </w:r>
      <w:r>
        <w:rPr>
          <w:rFonts w:ascii="Times New Roman" w:hAnsi="Times New Roman"/>
        </w:rPr>
        <w:t> </w:t>
      </w:r>
      <w:r>
        <w:rPr/>
        <w:t>classificado</w:t>
      </w:r>
      <w:r>
        <w:rPr>
          <w:rFonts w:ascii="Times New Roman" w:hAnsi="Times New Roman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Organização</w:t>
      </w:r>
      <w:r>
        <w:rPr>
          <w:rFonts w:ascii="Times New Roman" w:hAnsi="Times New Roman"/>
        </w:rPr>
        <w:t> </w:t>
      </w:r>
      <w:r>
        <w:rPr/>
        <w:t>Social,</w:t>
      </w:r>
      <w:r>
        <w:rPr>
          <w:rFonts w:ascii="Times New Roman" w:hAnsi="Times New Roman"/>
        </w:rPr>
        <w:t> </w:t>
      </w:r>
      <w:r>
        <w:rPr/>
        <w:t>vem</w:t>
      </w:r>
      <w:r>
        <w:rPr>
          <w:rFonts w:ascii="Times New Roman" w:hAnsi="Times New Roman"/>
        </w:rPr>
        <w:t> </w:t>
      </w:r>
      <w:r>
        <w:rPr/>
        <w:t>tornar</w:t>
      </w:r>
      <w:r>
        <w:rPr>
          <w:rFonts w:ascii="Times New Roman" w:hAnsi="Times New Roman"/>
        </w:rPr>
        <w:t> </w:t>
      </w:r>
      <w:r>
        <w:rPr/>
        <w:t>público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resultado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Seletivo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Compras,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finalidade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adquirir</w:t>
      </w:r>
      <w:r>
        <w:rPr>
          <w:rFonts w:ascii="Times New Roman" w:hAnsi="Times New Roman"/>
        </w:rPr>
        <w:t> </w:t>
      </w:r>
      <w:r>
        <w:rPr/>
        <w:t>bens,</w:t>
      </w:r>
      <w:r>
        <w:rPr>
          <w:rFonts w:ascii="Times New Roman" w:hAnsi="Times New Roman"/>
        </w:rPr>
        <w:t> </w:t>
      </w:r>
      <w:r>
        <w:rPr/>
        <w:t>materiais,</w:t>
      </w:r>
      <w:r>
        <w:rPr>
          <w:rFonts w:ascii="Times New Roman" w:hAnsi="Times New Roman"/>
        </w:rPr>
        <w:t> </w:t>
      </w:r>
      <w:r>
        <w:rPr/>
        <w:t>serviços</w:t>
      </w:r>
      <w:r>
        <w:rPr>
          <w:rFonts w:ascii="Times New Roman" w:hAnsi="Times New Roman"/>
        </w:rPr>
        <w:t> </w:t>
      </w:r>
      <w:r>
        <w:rPr/>
        <w:t>e/ou</w:t>
      </w:r>
      <w:r>
        <w:rPr>
          <w:rFonts w:ascii="Times New Roman" w:hAnsi="Times New Roman"/>
        </w:rPr>
        <w:t> </w:t>
      </w:r>
      <w:r>
        <w:rPr/>
        <w:t>medicamentos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rFonts w:ascii="Arial" w:hAnsi="Arial"/>
          <w:b/>
        </w:rPr>
        <w:t>HUAPA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Hospital</w:t>
      </w:r>
      <w:r>
        <w:rPr>
          <w:rFonts w:ascii="Times New Roman" w:hAnsi="Times New Roman"/>
        </w:rPr>
        <w:t> </w:t>
      </w:r>
      <w:r>
        <w:rPr/>
        <w:t>Estadual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Urgências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Aparecida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Goiânia</w:t>
      </w:r>
      <w:r>
        <w:rPr>
          <w:rFonts w:ascii="Times New Roman" w:hAnsi="Times New Roman"/>
        </w:rPr>
        <w:t> </w:t>
      </w:r>
      <w:r>
        <w:rPr/>
        <w:t>Cairo</w:t>
      </w:r>
      <w:r>
        <w:rPr>
          <w:rFonts w:ascii="Times New Roman" w:hAnsi="Times New Roman"/>
        </w:rPr>
        <w:t> </w:t>
      </w:r>
      <w:r>
        <w:rPr/>
        <w:t>Louzada,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endereço</w:t>
      </w:r>
      <w:r>
        <w:rPr>
          <w:rFonts w:ascii="Times New Roman" w:hAnsi="Times New Roman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Av.</w:t>
      </w:r>
      <w:r>
        <w:rPr>
          <w:rFonts w:ascii="Times New Roman" w:hAnsi="Times New Roman"/>
        </w:rPr>
        <w:t> </w:t>
      </w:r>
      <w:r>
        <w:rPr/>
        <w:t>Diamante,</w:t>
      </w:r>
      <w:r>
        <w:rPr>
          <w:rFonts w:ascii="Times New Roman" w:hAnsi="Times New Roman"/>
        </w:rPr>
        <w:t> </w:t>
      </w:r>
      <w:r>
        <w:rPr/>
        <w:t>esquina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Mucuri</w:t>
      </w:r>
      <w:r>
        <w:rPr>
          <w:rFonts w:ascii="Times New Roman" w:hAnsi="Times New Roman"/>
        </w:rPr>
        <w:t> </w:t>
      </w:r>
      <w:r>
        <w:rPr/>
        <w:t>s/n,</w:t>
      </w:r>
      <w:r>
        <w:rPr>
          <w:rFonts w:ascii="Times New Roman" w:hAnsi="Times New Roman"/>
        </w:rPr>
        <w:t> </w:t>
      </w:r>
      <w:r>
        <w:rPr/>
        <w:t>Jardim</w:t>
      </w:r>
      <w:r>
        <w:rPr>
          <w:rFonts w:ascii="Times New Roman" w:hAnsi="Times New Roman"/>
        </w:rPr>
        <w:t> </w:t>
      </w:r>
      <w:r>
        <w:rPr/>
        <w:t>Conde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Arcos,</w:t>
      </w:r>
      <w:r>
        <w:rPr>
          <w:rFonts w:ascii="Times New Roman" w:hAnsi="Times New Roman"/>
        </w:rPr>
        <w:t> </w:t>
      </w:r>
      <w:r>
        <w:rPr/>
        <w:t>Aparecida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Goiânia/GO,</w:t>
      </w:r>
      <w:r>
        <w:rPr>
          <w:rFonts w:ascii="Times New Roman" w:hAnsi="Times New Roman"/>
        </w:rPr>
        <w:t> </w:t>
      </w:r>
      <w:r>
        <w:rPr/>
        <w:t>CEP:</w:t>
      </w:r>
      <w:r>
        <w:rPr>
          <w:rFonts w:ascii="Times New Roman" w:hAnsi="Times New Roman"/>
        </w:rPr>
        <w:t> </w:t>
      </w:r>
      <w:r>
        <w:rPr/>
        <w:t>74.969-210.</w:t>
      </w:r>
    </w:p>
    <w:p>
      <w:pPr>
        <w:pStyle w:val="BodyText"/>
        <w:spacing w:before="15"/>
      </w:pPr>
    </w:p>
    <w:p>
      <w:pPr>
        <w:spacing w:before="0"/>
        <w:ind w:left="154" w:right="0" w:firstLine="0"/>
        <w:jc w:val="left"/>
        <w:rPr>
          <w:rFonts w:ascii="Arial" w:hAnsi="Arial"/>
          <w:b/>
          <w:sz w:val="19"/>
        </w:rPr>
      </w:pPr>
      <w:r>
        <w:rPr>
          <w:rFonts w:ascii="Arial" w:hAnsi="Arial"/>
          <w:b/>
          <w:sz w:val="19"/>
        </w:rPr>
        <w:t>Objeto:</w:t>
      </w:r>
      <w:r>
        <w:rPr>
          <w:spacing w:val="-2"/>
          <w:sz w:val="19"/>
        </w:rPr>
        <w:t> </w:t>
      </w:r>
      <w:r>
        <w:rPr>
          <w:rFonts w:ascii="Arial" w:hAnsi="Arial"/>
          <w:b/>
          <w:spacing w:val="-2"/>
          <w:sz w:val="19"/>
        </w:rPr>
        <w:t>Serviços</w:t>
      </w:r>
    </w:p>
    <w:p>
      <w:pPr>
        <w:spacing w:before="20"/>
        <w:ind w:left="154" w:right="0" w:firstLine="0"/>
        <w:jc w:val="left"/>
        <w:rPr>
          <w:rFonts w:ascii="Arial" w:hAnsi="Arial"/>
          <w:b/>
          <w:sz w:val="19"/>
        </w:rPr>
      </w:pPr>
      <w:r>
        <w:rPr>
          <w:rFonts w:ascii="Arial" w:hAnsi="Arial"/>
          <w:b/>
          <w:sz w:val="19"/>
        </w:rPr>
        <w:t>Tipo</w:t>
      </w:r>
      <w:r>
        <w:rPr>
          <w:spacing w:val="-2"/>
          <w:sz w:val="19"/>
        </w:rPr>
        <w:t> </w:t>
      </w:r>
      <w:r>
        <w:rPr>
          <w:rFonts w:ascii="Arial" w:hAnsi="Arial"/>
          <w:b/>
          <w:sz w:val="19"/>
        </w:rPr>
        <w:t>de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compra: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Pedido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com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Cotação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Bionexo/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via</w:t>
      </w:r>
      <w:r>
        <w:rPr>
          <w:spacing w:val="-1"/>
          <w:sz w:val="19"/>
        </w:rPr>
        <w:t> </w:t>
      </w:r>
      <w:r>
        <w:rPr>
          <w:rFonts w:ascii="Arial" w:hAnsi="Arial"/>
          <w:b/>
          <w:sz w:val="19"/>
        </w:rPr>
        <w:t>e-</w:t>
      </w:r>
      <w:r>
        <w:rPr>
          <w:rFonts w:ascii="Arial" w:hAnsi="Arial"/>
          <w:b/>
          <w:spacing w:val="-4"/>
          <w:sz w:val="19"/>
        </w:rPr>
        <w:t>mail</w:t>
      </w:r>
    </w:p>
    <w:p>
      <w:pPr>
        <w:pStyle w:val="BodyText"/>
        <w:spacing w:before="9"/>
        <w:rPr>
          <w:rFonts w:ascii="Arial"/>
          <w:b/>
          <w:sz w:val="9"/>
        </w:rPr>
      </w:pPr>
    </w:p>
    <w:tbl>
      <w:tblPr>
        <w:tblW w:w="0" w:type="auto"/>
        <w:jc w:val="left"/>
        <w:tblInd w:w="1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12"/>
        <w:gridCol w:w="5018"/>
        <w:gridCol w:w="631"/>
        <w:gridCol w:w="1425"/>
        <w:gridCol w:w="1317"/>
      </w:tblGrid>
      <w:tr>
        <w:trPr>
          <w:trHeight w:val="227" w:hRule="atLeast"/>
        </w:trPr>
        <w:tc>
          <w:tcPr>
            <w:tcW w:w="2112" w:type="dxa"/>
          </w:tcPr>
          <w:p>
            <w:pPr>
              <w:pStyle w:val="TableParagraph"/>
              <w:spacing w:line="207" w:lineRule="exact"/>
              <w:ind w:left="520"/>
              <w:rPr>
                <w:rFonts w:ascii="Calibri"/>
                <w:b/>
                <w:sz w:val="19"/>
              </w:rPr>
            </w:pPr>
            <w:r>
              <w:rPr>
                <w:rFonts w:ascii="Calibri"/>
                <w:b/>
                <w:color w:val="FF0000"/>
                <w:spacing w:val="-2"/>
                <w:sz w:val="19"/>
              </w:rPr>
              <w:t>FORNECEDOR</w:t>
            </w:r>
          </w:p>
        </w:tc>
        <w:tc>
          <w:tcPr>
            <w:tcW w:w="5018" w:type="dxa"/>
          </w:tcPr>
          <w:p>
            <w:pPr>
              <w:pStyle w:val="TableParagraph"/>
              <w:spacing w:line="207" w:lineRule="exact"/>
              <w:ind w:left="30"/>
              <w:rPr>
                <w:rFonts w:ascii="Calibri"/>
                <w:b/>
                <w:sz w:val="19"/>
              </w:rPr>
            </w:pPr>
            <w:r>
              <w:rPr>
                <w:rFonts w:ascii="Calibri"/>
                <w:b/>
                <w:color w:val="FF0000"/>
                <w:spacing w:val="-2"/>
                <w:sz w:val="19"/>
              </w:rPr>
              <w:t>PRODUTO:</w:t>
            </w:r>
          </w:p>
        </w:tc>
        <w:tc>
          <w:tcPr>
            <w:tcW w:w="631" w:type="dxa"/>
          </w:tcPr>
          <w:p>
            <w:pPr>
              <w:pStyle w:val="TableParagraph"/>
              <w:spacing w:line="207" w:lineRule="exact"/>
              <w:ind w:left="34" w:right="3"/>
              <w:jc w:val="center"/>
              <w:rPr>
                <w:rFonts w:ascii="Calibri"/>
                <w:b/>
                <w:sz w:val="19"/>
              </w:rPr>
            </w:pPr>
            <w:r>
              <w:rPr>
                <w:rFonts w:ascii="Calibri"/>
                <w:b/>
                <w:color w:val="FF0000"/>
                <w:spacing w:val="-4"/>
                <w:sz w:val="19"/>
              </w:rPr>
              <w:t>QTDE</w:t>
            </w:r>
          </w:p>
        </w:tc>
        <w:tc>
          <w:tcPr>
            <w:tcW w:w="1425" w:type="dxa"/>
          </w:tcPr>
          <w:p>
            <w:pPr>
              <w:pStyle w:val="TableParagraph"/>
              <w:spacing w:line="207" w:lineRule="exact"/>
              <w:ind w:left="401"/>
              <w:rPr>
                <w:rFonts w:ascii="Calibri"/>
                <w:b/>
                <w:sz w:val="19"/>
              </w:rPr>
            </w:pPr>
            <w:r>
              <w:rPr>
                <w:rFonts w:ascii="Calibri"/>
                <w:b/>
                <w:color w:val="FF0000"/>
                <w:sz w:val="19"/>
              </w:rPr>
              <w:t>R$</w:t>
            </w:r>
            <w:r>
              <w:rPr>
                <w:color w:val="FF0000"/>
                <w:spacing w:val="-8"/>
                <w:sz w:val="19"/>
              </w:rPr>
              <w:t> </w:t>
            </w:r>
            <w:r>
              <w:rPr>
                <w:rFonts w:ascii="Calibri"/>
                <w:b/>
                <w:color w:val="FF0000"/>
                <w:spacing w:val="-4"/>
                <w:sz w:val="19"/>
              </w:rPr>
              <w:t>UNIT</w:t>
            </w:r>
          </w:p>
        </w:tc>
        <w:tc>
          <w:tcPr>
            <w:tcW w:w="1317" w:type="dxa"/>
          </w:tcPr>
          <w:p>
            <w:pPr>
              <w:pStyle w:val="TableParagraph"/>
              <w:spacing w:line="207" w:lineRule="exact"/>
              <w:ind w:left="39"/>
              <w:jc w:val="center"/>
              <w:rPr>
                <w:rFonts w:ascii="Calibri"/>
                <w:b/>
                <w:sz w:val="19"/>
              </w:rPr>
            </w:pPr>
            <w:r>
              <w:rPr>
                <w:rFonts w:ascii="Calibri"/>
                <w:b/>
                <w:color w:val="FF0000"/>
                <w:sz w:val="19"/>
              </w:rPr>
              <w:t>R$</w:t>
            </w:r>
            <w:r>
              <w:rPr>
                <w:color w:val="FF0000"/>
                <w:spacing w:val="-8"/>
                <w:sz w:val="19"/>
              </w:rPr>
              <w:t> </w:t>
            </w:r>
            <w:r>
              <w:rPr>
                <w:rFonts w:ascii="Calibri"/>
                <w:b/>
                <w:color w:val="FF0000"/>
                <w:sz w:val="19"/>
              </w:rPr>
              <w:t>SUB</w:t>
            </w:r>
            <w:r>
              <w:rPr>
                <w:color w:val="FF0000"/>
                <w:spacing w:val="-8"/>
                <w:sz w:val="19"/>
              </w:rPr>
              <w:t> </w:t>
            </w:r>
            <w:r>
              <w:rPr>
                <w:rFonts w:ascii="Calibri"/>
                <w:b/>
                <w:color w:val="FF0000"/>
                <w:spacing w:val="-2"/>
                <w:sz w:val="19"/>
              </w:rPr>
              <w:t>TOTAL</w:t>
            </w:r>
          </w:p>
        </w:tc>
      </w:tr>
      <w:tr>
        <w:trPr>
          <w:trHeight w:val="666" w:hRule="atLeast"/>
        </w:trPr>
        <w:tc>
          <w:tcPr>
            <w:tcW w:w="2112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18" w:type="dxa"/>
            <w:tcBorders>
              <w:bottom w:val="nil"/>
            </w:tcBorders>
          </w:tcPr>
          <w:p>
            <w:pPr>
              <w:pStyle w:val="TableParagraph"/>
              <w:spacing w:before="174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ind w:left="369"/>
              <w:rPr>
                <w:sz w:val="20"/>
              </w:rPr>
            </w:pPr>
            <w:r>
              <w:rPr>
                <w:sz w:val="20"/>
              </w:rPr>
              <w:t>Contratação</w:t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especializada</w:t>
            </w:r>
            <w:r>
              <w:rPr>
                <w:spacing w:val="17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serviço</w:t>
            </w:r>
            <w:r>
              <w:rPr>
                <w:spacing w:val="16"/>
                <w:sz w:val="20"/>
              </w:rPr>
              <w:t> </w:t>
            </w:r>
            <w:r>
              <w:rPr>
                <w:spacing w:val="-5"/>
                <w:sz w:val="20"/>
              </w:rPr>
              <w:t>de</w:t>
            </w:r>
          </w:p>
        </w:tc>
        <w:tc>
          <w:tcPr>
            <w:tcW w:w="631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25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1307" w:hRule="atLeast"/>
        </w:trPr>
        <w:tc>
          <w:tcPr>
            <w:tcW w:w="211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4" w:lineRule="auto" w:before="113"/>
              <w:ind w:left="261" w:right="234" w:hanging="3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w w:val="105"/>
                <w:sz w:val="20"/>
              </w:rPr>
              <w:t>Bringer</w:t>
            </w:r>
            <w:r>
              <w:rPr>
                <w:w w:val="105"/>
                <w:sz w:val="20"/>
              </w:rPr>
              <w:t> </w:t>
            </w:r>
            <w:r>
              <w:rPr>
                <w:rFonts w:ascii="Calibri"/>
                <w:b/>
                <w:w w:val="105"/>
                <w:sz w:val="20"/>
              </w:rPr>
              <w:t>do</w:t>
            </w:r>
            <w:r>
              <w:rPr>
                <w:w w:val="105"/>
                <w:sz w:val="20"/>
              </w:rPr>
              <w:t> </w:t>
            </w:r>
            <w:r>
              <w:rPr>
                <w:rFonts w:ascii="Calibri"/>
                <w:b/>
                <w:w w:val="105"/>
                <w:sz w:val="20"/>
              </w:rPr>
              <w:t>Brasil</w:t>
            </w:r>
            <w:r>
              <w:rPr>
                <w:w w:val="105"/>
                <w:sz w:val="20"/>
              </w:rPr>
              <w:t> </w:t>
            </w:r>
            <w:r>
              <w:rPr>
                <w:rFonts w:ascii="Calibri"/>
                <w:b/>
                <w:w w:val="105"/>
                <w:sz w:val="20"/>
              </w:rPr>
              <w:t>Agenciamento</w:t>
            </w:r>
            <w:r>
              <w:rPr>
                <w:spacing w:val="-1"/>
                <w:w w:val="105"/>
                <w:sz w:val="20"/>
              </w:rPr>
              <w:t> </w:t>
            </w:r>
            <w:r>
              <w:rPr>
                <w:rFonts w:ascii="Calibri"/>
                <w:b/>
                <w:w w:val="105"/>
                <w:sz w:val="20"/>
              </w:rPr>
              <w:t>de</w:t>
            </w:r>
            <w:r>
              <w:rPr>
                <w:w w:val="105"/>
                <w:sz w:val="20"/>
              </w:rPr>
              <w:t> </w:t>
            </w:r>
            <w:r>
              <w:rPr>
                <w:rFonts w:ascii="Calibri"/>
                <w:b/>
                <w:spacing w:val="-2"/>
                <w:w w:val="105"/>
                <w:sz w:val="20"/>
              </w:rPr>
              <w:t>Cargas</w:t>
            </w:r>
            <w:r>
              <w:rPr>
                <w:spacing w:val="-12"/>
                <w:w w:val="105"/>
                <w:sz w:val="20"/>
              </w:rPr>
              <w:t> </w:t>
            </w:r>
            <w:r>
              <w:rPr>
                <w:rFonts w:ascii="Calibri"/>
                <w:b/>
                <w:spacing w:val="-2"/>
                <w:w w:val="105"/>
                <w:sz w:val="20"/>
              </w:rPr>
              <w:t>Nacionais</w:t>
            </w:r>
            <w:r>
              <w:rPr>
                <w:spacing w:val="-11"/>
                <w:w w:val="105"/>
                <w:sz w:val="20"/>
              </w:rPr>
              <w:t> </w:t>
            </w:r>
            <w:r>
              <w:rPr>
                <w:rFonts w:ascii="Calibri"/>
                <w:b/>
                <w:spacing w:val="-2"/>
                <w:w w:val="105"/>
                <w:sz w:val="20"/>
              </w:rPr>
              <w:t>e</w:t>
            </w:r>
            <w:r>
              <w:rPr>
                <w:spacing w:val="-2"/>
                <w:w w:val="105"/>
                <w:sz w:val="20"/>
              </w:rPr>
              <w:t> </w:t>
            </w:r>
            <w:r>
              <w:rPr>
                <w:rFonts w:ascii="Calibri"/>
                <w:b/>
                <w:spacing w:val="-2"/>
                <w:w w:val="105"/>
                <w:sz w:val="20"/>
              </w:rPr>
              <w:t>Internacionais.</w:t>
            </w:r>
          </w:p>
        </w:tc>
        <w:tc>
          <w:tcPr>
            <w:tcW w:w="501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3" w:lineRule="auto"/>
              <w:ind w:left="109" w:right="86" w:firstLine="2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transporte de perfuradores pneumaticos. Remetente: HUAPA</w:t>
            </w:r>
            <w:r>
              <w:rPr>
                <w:spacing w:val="-14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(AV.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Diamante,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Esquina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c/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a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rua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Mucuri,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Jardim Conde Dos Arcos / CEP: 74969210). Destinatário: Rua João Bassi, 572 Pq-Ind.F.Fernandes-Guarulhos-SP-</w:t>
            </w:r>
          </w:p>
          <w:p>
            <w:pPr>
              <w:pStyle w:val="TableParagraph"/>
              <w:spacing w:line="228" w:lineRule="exact"/>
              <w:ind w:left="24"/>
              <w:jc w:val="center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CEP:07172-440.</w:t>
            </w:r>
            <w:r>
              <w:rPr>
                <w:spacing w:val="-1"/>
                <w:w w:val="105"/>
                <w:sz w:val="20"/>
              </w:rPr>
              <w:t> </w:t>
            </w:r>
            <w:r>
              <w:rPr>
                <w:spacing w:val="-2"/>
                <w:w w:val="105"/>
                <w:sz w:val="20"/>
              </w:rPr>
              <w:t>A</w:t>
            </w:r>
            <w:r>
              <w:rPr>
                <w:spacing w:val="-3"/>
                <w:w w:val="105"/>
                <w:sz w:val="20"/>
              </w:rPr>
              <w:t> </w:t>
            </w:r>
            <w:r>
              <w:rPr>
                <w:spacing w:val="-2"/>
                <w:w w:val="105"/>
                <w:sz w:val="20"/>
              </w:rPr>
              <w:t>caixa</w:t>
            </w:r>
            <w:r>
              <w:rPr>
                <w:spacing w:val="-3"/>
                <w:w w:val="105"/>
                <w:sz w:val="20"/>
              </w:rPr>
              <w:t> </w:t>
            </w:r>
            <w:r>
              <w:rPr>
                <w:spacing w:val="-2"/>
                <w:w w:val="105"/>
                <w:sz w:val="20"/>
              </w:rPr>
              <w:t>possuem as</w:t>
            </w:r>
            <w:r>
              <w:rPr>
                <w:spacing w:val="-4"/>
                <w:w w:val="105"/>
                <w:sz w:val="20"/>
              </w:rPr>
              <w:t> </w:t>
            </w:r>
            <w:r>
              <w:rPr>
                <w:spacing w:val="-2"/>
                <w:w w:val="105"/>
                <w:sz w:val="20"/>
              </w:rPr>
              <w:t>seguintes</w:t>
            </w:r>
            <w:r>
              <w:rPr>
                <w:spacing w:val="-4"/>
                <w:w w:val="105"/>
                <w:sz w:val="20"/>
              </w:rPr>
              <w:t> </w:t>
            </w:r>
            <w:r>
              <w:rPr>
                <w:spacing w:val="-2"/>
                <w:w w:val="105"/>
                <w:sz w:val="20"/>
              </w:rPr>
              <w:t>medidas:</w:t>
            </w:r>
          </w:p>
        </w:tc>
        <w:tc>
          <w:tcPr>
            <w:tcW w:w="63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62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1"/>
              <w:ind w:left="34"/>
              <w:jc w:val="center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1</w:t>
            </w:r>
          </w:p>
        </w:tc>
        <w:tc>
          <w:tcPr>
            <w:tcW w:w="1425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62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tabs>
                <w:tab w:pos="753" w:val="left" w:leader="none"/>
              </w:tabs>
              <w:spacing w:before="1"/>
              <w:ind w:left="129"/>
              <w:rPr>
                <w:sz w:val="20"/>
              </w:rPr>
            </w:pPr>
            <w:r>
              <w:rPr>
                <w:spacing w:val="-5"/>
                <w:w w:val="105"/>
                <w:sz w:val="20"/>
              </w:rPr>
              <w:t>R$</w:t>
            </w:r>
            <w:r>
              <w:rPr>
                <w:sz w:val="20"/>
              </w:rPr>
              <w:tab/>
            </w:r>
            <w:r>
              <w:rPr>
                <w:spacing w:val="-2"/>
                <w:w w:val="105"/>
                <w:sz w:val="20"/>
              </w:rPr>
              <w:t>217,61</w:t>
            </w:r>
          </w:p>
        </w:tc>
        <w:tc>
          <w:tcPr>
            <w:tcW w:w="1317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62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tabs>
                <w:tab w:pos="564" w:val="left" w:leader="none"/>
              </w:tabs>
              <w:spacing w:before="1"/>
              <w:ind w:left="48"/>
              <w:jc w:val="center"/>
              <w:rPr>
                <w:sz w:val="20"/>
              </w:rPr>
            </w:pPr>
            <w:r>
              <w:rPr>
                <w:spacing w:val="-5"/>
                <w:w w:val="105"/>
                <w:sz w:val="20"/>
              </w:rPr>
              <w:t>R$</w:t>
            </w:r>
            <w:r>
              <w:rPr>
                <w:sz w:val="20"/>
              </w:rPr>
              <w:tab/>
            </w:r>
            <w:r>
              <w:rPr>
                <w:spacing w:val="-2"/>
                <w:w w:val="105"/>
                <w:sz w:val="20"/>
              </w:rPr>
              <w:t>217,61</w:t>
            </w:r>
          </w:p>
        </w:tc>
      </w:tr>
      <w:tr>
        <w:trPr>
          <w:trHeight w:val="650" w:hRule="atLeast"/>
        </w:trPr>
        <w:tc>
          <w:tcPr>
            <w:tcW w:w="2112" w:type="dxa"/>
            <w:tcBorders>
              <w:top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18" w:type="dxa"/>
            <w:tcBorders>
              <w:top w:val="nil"/>
            </w:tcBorders>
          </w:tcPr>
          <w:p>
            <w:pPr>
              <w:pStyle w:val="TableParagraph"/>
              <w:spacing w:line="230" w:lineRule="exact"/>
              <w:ind w:left="673"/>
              <w:rPr>
                <w:sz w:val="20"/>
              </w:rPr>
            </w:pPr>
            <w:r>
              <w:rPr>
                <w:w w:val="105"/>
                <w:sz w:val="20"/>
              </w:rPr>
              <w:t>310mm</w:t>
            </w:r>
            <w:r>
              <w:rPr>
                <w:spacing w:val="-12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x</w:t>
            </w:r>
            <w:r>
              <w:rPr>
                <w:spacing w:val="-13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360mm</w:t>
            </w:r>
            <w:r>
              <w:rPr>
                <w:spacing w:val="-11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(LXPXA)</w:t>
            </w:r>
            <w:r>
              <w:rPr>
                <w:spacing w:val="-11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Peso:</w:t>
            </w:r>
            <w:r>
              <w:rPr>
                <w:spacing w:val="-12"/>
                <w:w w:val="105"/>
                <w:sz w:val="20"/>
              </w:rPr>
              <w:t> </w:t>
            </w:r>
            <w:r>
              <w:rPr>
                <w:w w:val="105"/>
                <w:sz w:val="20"/>
              </w:rPr>
              <w:t>5,700</w:t>
            </w:r>
            <w:r>
              <w:rPr>
                <w:spacing w:val="-12"/>
                <w:w w:val="105"/>
                <w:sz w:val="20"/>
              </w:rPr>
              <w:t> </w:t>
            </w:r>
            <w:r>
              <w:rPr>
                <w:spacing w:val="-5"/>
                <w:w w:val="105"/>
                <w:sz w:val="20"/>
              </w:rPr>
              <w:t>kg.</w:t>
            </w:r>
          </w:p>
        </w:tc>
        <w:tc>
          <w:tcPr>
            <w:tcW w:w="631" w:type="dxa"/>
            <w:tcBorders>
              <w:top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25" w:type="dxa"/>
            <w:tcBorders>
              <w:top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47" w:hRule="atLeast"/>
        </w:trPr>
        <w:tc>
          <w:tcPr>
            <w:tcW w:w="7761" w:type="dxa"/>
            <w:gridSpan w:val="3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25" w:type="dxa"/>
          </w:tcPr>
          <w:p>
            <w:pPr>
              <w:pStyle w:val="TableParagraph"/>
              <w:spacing w:line="274" w:lineRule="exact" w:before="154"/>
              <w:ind w:left="66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0000"/>
                <w:spacing w:val="-2"/>
                <w:sz w:val="24"/>
              </w:rPr>
              <w:t>TOTAL:</w:t>
            </w:r>
          </w:p>
        </w:tc>
        <w:tc>
          <w:tcPr>
            <w:tcW w:w="1317" w:type="dxa"/>
          </w:tcPr>
          <w:p>
            <w:pPr>
              <w:pStyle w:val="TableParagraph"/>
              <w:tabs>
                <w:tab w:pos="552" w:val="left" w:leader="none"/>
              </w:tabs>
              <w:spacing w:line="236" w:lineRule="exact" w:before="192"/>
              <w:ind w:left="22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FF0000"/>
                <w:spacing w:val="-5"/>
                <w:w w:val="105"/>
                <w:sz w:val="20"/>
              </w:rPr>
              <w:t>R$</w:t>
            </w:r>
            <w:r>
              <w:rPr>
                <w:color w:val="FF0000"/>
                <w:sz w:val="20"/>
              </w:rPr>
              <w:tab/>
            </w:r>
            <w:r>
              <w:rPr>
                <w:rFonts w:ascii="Calibri"/>
                <w:b/>
                <w:color w:val="FF0000"/>
                <w:spacing w:val="-2"/>
                <w:w w:val="105"/>
                <w:sz w:val="20"/>
              </w:rPr>
              <w:t>217,61</w:t>
            </w:r>
          </w:p>
        </w:tc>
      </w:tr>
    </w:tbl>
    <w:sectPr>
      <w:type w:val="continuous"/>
      <w:pgSz w:w="11900" w:h="16840"/>
      <w:pgMar w:top="1040" w:bottom="280" w:left="700" w:right="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9"/>
      <w:szCs w:val="19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alex.pereira</dc:creator>
  <dc:title>Resultado Serviço HUAPA</dc:title>
  <dcterms:created xsi:type="dcterms:W3CDTF">2024-05-15T18:32:25Z</dcterms:created>
  <dcterms:modified xsi:type="dcterms:W3CDTF">2024-05-15T18:32:25Z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2019-04-22T00:00:00Z</vt:filetime>
  </property>
  <property fmtid="{D5CDD505-2E9C-101B-9397-08002B2CF9AE}" pid="3" name="Creator">
    <vt:lpwstr>PDFCreator 3.3.2.3528</vt:lpwstr>
  </property>
  <property fmtid="{D5CDD505-2E9C-101B-9397-08002B2CF9AE}" pid="4" name="LastSaved">
    <vt:filetime>2024-05-15T00:00:00Z</vt:filetime>
  </property>
  <property fmtid="{D5CDD505-2E9C-101B-9397-08002B2CF9AE}" pid="5" name="Producer">
    <vt:lpwstr>PDFCreator 3.3.2.3528</vt:lpwstr>
  </property>
</Properties>
</file>