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1" w:lineRule="auto" w:before="46"/>
        <w:ind w:left="3924" w:right="2393"/>
      </w:pPr>
      <w:r>
        <w:rPr/>
        <w:t>Resultado</w:t>
      </w:r>
      <w:r>
        <w:rPr>
          <w:spacing w:val="-7"/>
        </w:rPr>
        <w:t> </w:t>
      </w:r>
      <w:r>
        <w:rPr/>
        <w:t>Processo</w:t>
      </w:r>
      <w:r>
        <w:rPr>
          <w:spacing w:val="-7"/>
        </w:rPr>
        <w:t> </w:t>
      </w:r>
      <w:r>
        <w:rPr/>
        <w:t>Seletivo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Aquisição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Bens,</w:t>
      </w:r>
      <w:r>
        <w:rPr>
          <w:spacing w:val="-7"/>
        </w:rPr>
        <w:t> </w:t>
      </w:r>
      <w:r>
        <w:rPr/>
        <w:t>Materiais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Serviços</w:t>
      </w:r>
      <w:r>
        <w:rPr>
          <w:spacing w:val="-34"/>
        </w:rPr>
        <w:t> </w:t>
      </w:r>
      <w:r>
        <w:rPr/>
        <w:t>N°</w:t>
      </w:r>
      <w:r>
        <w:rPr>
          <w:spacing w:val="-2"/>
        </w:rPr>
        <w:t> </w:t>
      </w:r>
      <w:r>
        <w:rPr/>
        <w:t>20192509S019HUAPA</w:t>
      </w:r>
    </w:p>
    <w:p>
      <w:pPr>
        <w:pStyle w:val="BodyText"/>
        <w:spacing w:line="256" w:lineRule="auto"/>
        <w:ind w:left="149" w:right="291"/>
      </w:pPr>
      <w:r>
        <w:rPr/>
        <w:t>O Instituto de Gestão e Humanização – IGH, entidade de direito privado e sem fins lucrativos, classificado como Organização</w:t>
      </w:r>
      <w:r>
        <w:rPr>
          <w:spacing w:val="1"/>
        </w:rPr>
        <w:t> </w:t>
      </w:r>
      <w:r>
        <w:rPr/>
        <w:t>Social,</w:t>
      </w:r>
      <w:r>
        <w:rPr>
          <w:spacing w:val="-7"/>
        </w:rPr>
        <w:t> </w:t>
      </w:r>
      <w:r>
        <w:rPr/>
        <w:t>vem</w:t>
      </w:r>
      <w:r>
        <w:rPr>
          <w:spacing w:val="-6"/>
        </w:rPr>
        <w:t> </w:t>
      </w:r>
      <w:r>
        <w:rPr/>
        <w:t>tornar</w:t>
      </w:r>
      <w:r>
        <w:rPr>
          <w:spacing w:val="-6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resultado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Processo</w:t>
      </w:r>
      <w:r>
        <w:rPr>
          <w:spacing w:val="-6"/>
        </w:rPr>
        <w:t> </w:t>
      </w:r>
      <w:r>
        <w:rPr/>
        <w:t>Seletivo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Compras,</w:t>
      </w:r>
      <w:r>
        <w:rPr>
          <w:spacing w:val="-8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finalidade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adquirir</w:t>
      </w:r>
      <w:r>
        <w:rPr>
          <w:spacing w:val="-7"/>
        </w:rPr>
        <w:t> </w:t>
      </w:r>
      <w:r>
        <w:rPr/>
        <w:t>bens,</w:t>
      </w:r>
      <w:r>
        <w:rPr>
          <w:spacing w:val="-8"/>
        </w:rPr>
        <w:t> </w:t>
      </w:r>
      <w:r>
        <w:rPr/>
        <w:t>materiais,</w:t>
      </w:r>
      <w:r>
        <w:rPr>
          <w:spacing w:val="-6"/>
        </w:rPr>
        <w:t> </w:t>
      </w:r>
      <w:r>
        <w:rPr/>
        <w:t>serviços</w:t>
      </w:r>
      <w:r>
        <w:rPr>
          <w:spacing w:val="1"/>
        </w:rPr>
        <w:t> </w:t>
      </w:r>
      <w:r>
        <w:rPr>
          <w:w w:val="95"/>
        </w:rPr>
        <w:t>e/ou</w:t>
      </w:r>
      <w:r>
        <w:rPr>
          <w:spacing w:val="15"/>
          <w:w w:val="95"/>
        </w:rPr>
        <w:t> </w:t>
      </w:r>
      <w:r>
        <w:rPr>
          <w:w w:val="95"/>
        </w:rPr>
        <w:t>medicamentos</w:t>
      </w:r>
      <w:r>
        <w:rPr>
          <w:spacing w:val="16"/>
          <w:w w:val="95"/>
        </w:rPr>
        <w:t> </w:t>
      </w:r>
      <w:r>
        <w:rPr>
          <w:w w:val="95"/>
        </w:rPr>
        <w:t>para</w:t>
      </w:r>
      <w:r>
        <w:rPr>
          <w:spacing w:val="15"/>
          <w:w w:val="95"/>
        </w:rPr>
        <w:t> </w:t>
      </w:r>
      <w:r>
        <w:rPr>
          <w:w w:val="95"/>
        </w:rPr>
        <w:t>o</w:t>
      </w:r>
      <w:r>
        <w:rPr>
          <w:spacing w:val="25"/>
          <w:w w:val="95"/>
        </w:rPr>
        <w:t> </w:t>
      </w:r>
      <w:r>
        <w:rPr>
          <w:rFonts w:ascii="Arial" w:hAnsi="Arial"/>
          <w:b/>
          <w:w w:val="95"/>
        </w:rPr>
        <w:t>HUAPA</w:t>
      </w:r>
      <w:r>
        <w:rPr>
          <w:rFonts w:ascii="Arial" w:hAnsi="Arial"/>
          <w:b/>
          <w:spacing w:val="2"/>
          <w:w w:val="95"/>
        </w:rPr>
        <w:t> </w:t>
      </w:r>
      <w:r>
        <w:rPr>
          <w:w w:val="95"/>
        </w:rPr>
        <w:t>–</w:t>
      </w:r>
      <w:r>
        <w:rPr>
          <w:spacing w:val="15"/>
          <w:w w:val="95"/>
        </w:rPr>
        <w:t> </w:t>
      </w:r>
      <w:r>
        <w:rPr>
          <w:w w:val="95"/>
        </w:rPr>
        <w:t>Hospital</w:t>
      </w:r>
      <w:r>
        <w:rPr>
          <w:spacing w:val="15"/>
          <w:w w:val="95"/>
        </w:rPr>
        <w:t> </w:t>
      </w:r>
      <w:r>
        <w:rPr>
          <w:w w:val="95"/>
        </w:rPr>
        <w:t>Estadual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Urgências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Aparecida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Goiânia</w:t>
      </w:r>
      <w:r>
        <w:rPr>
          <w:spacing w:val="16"/>
          <w:w w:val="95"/>
        </w:rPr>
        <w:t> </w:t>
      </w:r>
      <w:r>
        <w:rPr>
          <w:w w:val="95"/>
        </w:rPr>
        <w:t>Cairo</w:t>
      </w:r>
      <w:r>
        <w:rPr>
          <w:spacing w:val="15"/>
          <w:w w:val="95"/>
        </w:rPr>
        <w:t> </w:t>
      </w:r>
      <w:r>
        <w:rPr>
          <w:w w:val="95"/>
        </w:rPr>
        <w:t>Louzada,</w:t>
      </w:r>
      <w:r>
        <w:rPr>
          <w:spacing w:val="15"/>
          <w:w w:val="95"/>
        </w:rPr>
        <w:t> </w:t>
      </w:r>
      <w:r>
        <w:rPr>
          <w:w w:val="95"/>
        </w:rPr>
        <w:t>com</w:t>
      </w:r>
      <w:r>
        <w:rPr>
          <w:spacing w:val="17"/>
          <w:w w:val="95"/>
        </w:rPr>
        <w:t> </w:t>
      </w:r>
      <w:r>
        <w:rPr>
          <w:w w:val="95"/>
        </w:rPr>
        <w:t>endereço</w:t>
      </w:r>
      <w:r>
        <w:rPr>
          <w:spacing w:val="15"/>
          <w:w w:val="95"/>
        </w:rPr>
        <w:t> </w:t>
      </w:r>
      <w:r>
        <w:rPr>
          <w:w w:val="95"/>
        </w:rPr>
        <w:t>à</w:t>
      </w:r>
      <w:r>
        <w:rPr>
          <w:spacing w:val="1"/>
          <w:w w:val="95"/>
        </w:rPr>
        <w:t> </w:t>
      </w:r>
      <w:r>
        <w:rPr/>
        <w:t>Av.</w:t>
      </w:r>
      <w:r>
        <w:rPr>
          <w:spacing w:val="-4"/>
        </w:rPr>
        <w:t> </w:t>
      </w:r>
      <w:r>
        <w:rPr/>
        <w:t>Diamante,</w:t>
      </w:r>
      <w:r>
        <w:rPr>
          <w:spacing w:val="-5"/>
        </w:rPr>
        <w:t> </w:t>
      </w:r>
      <w:r>
        <w:rPr/>
        <w:t>esquina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rua</w:t>
      </w:r>
      <w:r>
        <w:rPr>
          <w:spacing w:val="-3"/>
        </w:rPr>
        <w:t> </w:t>
      </w:r>
      <w:r>
        <w:rPr/>
        <w:t>Mucuri</w:t>
      </w:r>
      <w:r>
        <w:rPr>
          <w:spacing w:val="-4"/>
        </w:rPr>
        <w:t> </w:t>
      </w:r>
      <w:r>
        <w:rPr/>
        <w:t>s/n,</w:t>
      </w:r>
      <w:r>
        <w:rPr>
          <w:spacing w:val="-4"/>
        </w:rPr>
        <w:t> </w:t>
      </w:r>
      <w:r>
        <w:rPr/>
        <w:t>Jardim</w:t>
      </w:r>
      <w:r>
        <w:rPr>
          <w:spacing w:val="-3"/>
        </w:rPr>
        <w:t> </w:t>
      </w:r>
      <w:r>
        <w:rPr/>
        <w:t>Conde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Arcos,</w:t>
      </w:r>
      <w:r>
        <w:rPr>
          <w:spacing w:val="-4"/>
        </w:rPr>
        <w:t> </w:t>
      </w:r>
      <w:r>
        <w:rPr/>
        <w:t>Aparecida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Goiânia/GO,</w:t>
      </w:r>
      <w:r>
        <w:rPr>
          <w:spacing w:val="-4"/>
        </w:rPr>
        <w:t> </w:t>
      </w:r>
      <w:r>
        <w:rPr/>
        <w:t>CEP:</w:t>
      </w:r>
      <w:r>
        <w:rPr>
          <w:spacing w:val="-4"/>
        </w:rPr>
        <w:t> </w:t>
      </w:r>
      <w:r>
        <w:rPr/>
        <w:t>74.969-210.</w:t>
      </w:r>
    </w:p>
    <w:p>
      <w:pPr>
        <w:pStyle w:val="BodyText"/>
        <w:rPr>
          <w:sz w:val="17"/>
        </w:rPr>
      </w:pPr>
    </w:p>
    <w:p>
      <w:pPr>
        <w:pStyle w:val="Heading1"/>
        <w:ind w:firstLine="0"/>
        <w:rPr>
          <w:rFonts w:ascii="Arial" w:hAnsi="Arial"/>
        </w:rPr>
      </w:pPr>
      <w:r>
        <w:rPr>
          <w:rFonts w:ascii="Arial" w:hAnsi="Arial"/>
        </w:rPr>
        <w:t>Objeto: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Serviços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5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4140"/>
        <w:gridCol w:w="938"/>
        <w:gridCol w:w="1176"/>
        <w:gridCol w:w="1188"/>
      </w:tblGrid>
      <w:tr>
        <w:trPr>
          <w:trHeight w:val="193" w:hRule="atLeast"/>
        </w:trPr>
        <w:tc>
          <w:tcPr>
            <w:tcW w:w="1742" w:type="dxa"/>
          </w:tcPr>
          <w:p>
            <w:pPr>
              <w:pStyle w:val="TableParagraph"/>
              <w:spacing w:line="174" w:lineRule="exact"/>
              <w:ind w:left="4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0000"/>
                <w:sz w:val="16"/>
              </w:rPr>
              <w:t>FORNECEDOR</w:t>
            </w:r>
          </w:p>
        </w:tc>
        <w:tc>
          <w:tcPr>
            <w:tcW w:w="4140" w:type="dxa"/>
          </w:tcPr>
          <w:p>
            <w:pPr>
              <w:pStyle w:val="TableParagraph"/>
              <w:spacing w:line="174" w:lineRule="exact"/>
              <w:ind w:left="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0000"/>
                <w:sz w:val="16"/>
              </w:rPr>
              <w:t>PRODUTO:</w:t>
            </w:r>
          </w:p>
        </w:tc>
        <w:tc>
          <w:tcPr>
            <w:tcW w:w="938" w:type="dxa"/>
          </w:tcPr>
          <w:p>
            <w:pPr>
              <w:pStyle w:val="TableParagraph"/>
              <w:spacing w:line="174" w:lineRule="exact"/>
              <w:ind w:left="29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0000"/>
                <w:sz w:val="16"/>
              </w:rPr>
              <w:t>QTDE</w:t>
            </w:r>
          </w:p>
        </w:tc>
        <w:tc>
          <w:tcPr>
            <w:tcW w:w="1176" w:type="dxa"/>
          </w:tcPr>
          <w:p>
            <w:pPr>
              <w:pStyle w:val="TableParagraph"/>
              <w:spacing w:line="174" w:lineRule="exact"/>
              <w:ind w:left="32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0000"/>
                <w:sz w:val="16"/>
              </w:rPr>
              <w:t>R$</w:t>
            </w:r>
            <w:r>
              <w:rPr>
                <w:rFonts w:ascii="Calibri"/>
                <w:b/>
                <w:color w:val="FF0000"/>
                <w:spacing w:val="-4"/>
                <w:sz w:val="16"/>
              </w:rPr>
              <w:t> </w:t>
            </w:r>
            <w:r>
              <w:rPr>
                <w:rFonts w:ascii="Calibri"/>
                <w:b/>
                <w:color w:val="FF0000"/>
                <w:sz w:val="16"/>
              </w:rPr>
              <w:t>UNIT</w:t>
            </w:r>
          </w:p>
        </w:tc>
        <w:tc>
          <w:tcPr>
            <w:tcW w:w="1188" w:type="dxa"/>
          </w:tcPr>
          <w:p>
            <w:pPr>
              <w:pStyle w:val="TableParagraph"/>
              <w:spacing w:line="174" w:lineRule="exact"/>
              <w:ind w:left="1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0000"/>
                <w:sz w:val="16"/>
              </w:rPr>
              <w:t>R$</w:t>
            </w:r>
            <w:r>
              <w:rPr>
                <w:rFonts w:ascii="Calibri"/>
                <w:b/>
                <w:color w:val="FF0000"/>
                <w:spacing w:val="-6"/>
                <w:sz w:val="16"/>
              </w:rPr>
              <w:t> </w:t>
            </w:r>
            <w:r>
              <w:rPr>
                <w:rFonts w:ascii="Calibri"/>
                <w:b/>
                <w:color w:val="FF0000"/>
                <w:sz w:val="16"/>
              </w:rPr>
              <w:t>SUB</w:t>
            </w:r>
            <w:r>
              <w:rPr>
                <w:rFonts w:ascii="Calibri"/>
                <w:b/>
                <w:color w:val="FF0000"/>
                <w:spacing w:val="-5"/>
                <w:sz w:val="16"/>
              </w:rPr>
              <w:t> </w:t>
            </w:r>
            <w:r>
              <w:rPr>
                <w:rFonts w:ascii="Calibri"/>
                <w:b/>
                <w:color w:val="FF0000"/>
                <w:sz w:val="16"/>
              </w:rPr>
              <w:t>TOTAL</w:t>
            </w:r>
          </w:p>
        </w:tc>
      </w:tr>
      <w:tr>
        <w:trPr>
          <w:trHeight w:val="3248" w:hRule="atLeast"/>
        </w:trPr>
        <w:tc>
          <w:tcPr>
            <w:tcW w:w="17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56" w:lineRule="auto"/>
              <w:ind w:left="33" w:right="1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Brasil</w:t>
            </w:r>
            <w:r>
              <w:rPr>
                <w:rFonts w:ascii="Calibri" w:hAnsi="Calibri"/>
                <w:b/>
                <w:spacing w:val="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Auto</w:t>
            </w:r>
            <w:r>
              <w:rPr>
                <w:rFonts w:ascii="Calibri" w:hAnsi="Calibri"/>
                <w:b/>
                <w:spacing w:val="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Center</w:t>
            </w:r>
            <w:r>
              <w:rPr>
                <w:rFonts w:ascii="Calibri" w:hAnsi="Calibri"/>
                <w:b/>
                <w:spacing w:val="-4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Peças e</w:t>
            </w:r>
            <w:r>
              <w:rPr>
                <w:rFonts w:ascii="Calibri" w:hAnsi="Calibri"/>
                <w:b/>
                <w:spacing w:val="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Serviços</w:t>
            </w:r>
            <w:r>
              <w:rPr>
                <w:rFonts w:ascii="Calibri" w:hAnsi="Calibri"/>
                <w:b/>
                <w:spacing w:val="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EIRELI</w:t>
            </w:r>
          </w:p>
        </w:tc>
        <w:tc>
          <w:tcPr>
            <w:tcW w:w="4140" w:type="dxa"/>
          </w:tcPr>
          <w:p>
            <w:pPr>
              <w:pStyle w:val="TableParagraph"/>
              <w:spacing w:line="264" w:lineRule="auto" w:before="2"/>
              <w:ind w:left="28" w:right="93" w:firstLine="86"/>
              <w:rPr>
                <w:sz w:val="17"/>
              </w:rPr>
            </w:pPr>
            <w:r>
              <w:rPr>
                <w:sz w:val="17"/>
              </w:rPr>
              <w:t>Contratação de empresa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especializada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prestação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serviços manutenção e reparo mecânico da frota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veiculos automotores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ultilizados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hospital.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Caberá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contratada realizar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mecânica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geral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veículos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assistência,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sendo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ambulâncias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transporte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pacientes,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modelo Mercedes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Benz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313CDI Sprinterf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placa-NKX-6361/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NKX-8761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veículos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adiministrativos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modelos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RENAULT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LOGAN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placa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NLB8851,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modelo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Master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Furgão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placa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NKY-3891.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Caso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precise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do Termo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 referência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favor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solicitar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via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e-mail:</w:t>
            </w:r>
            <w:r>
              <w:rPr>
                <w:spacing w:val="1"/>
                <w:sz w:val="17"/>
              </w:rPr>
              <w:t> </w:t>
            </w:r>
            <w:hyperlink r:id="rId5">
              <w:r>
                <w:rPr>
                  <w:sz w:val="17"/>
                </w:rPr>
                <w:t>compras.go@igh.org.br</w:t>
              </w:r>
              <w:r>
                <w:rPr>
                  <w:spacing w:val="1"/>
                  <w:sz w:val="17"/>
                </w:rPr>
                <w:t> </w:t>
              </w:r>
            </w:hyperlink>
            <w:r>
              <w:rPr>
                <w:sz w:val="17"/>
              </w:rPr>
              <w:t>ou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ligar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(62)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3217-8923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Comprador Alex.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4" w:lineRule="auto" w:before="122"/>
              <w:ind w:left="160" w:right="129" w:firstLine="177"/>
              <w:rPr>
                <w:sz w:val="17"/>
              </w:rPr>
            </w:pPr>
            <w:r>
              <w:rPr>
                <w:sz w:val="17"/>
              </w:rPr>
              <w:t>Sob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demanda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4" w:lineRule="auto" w:before="122"/>
              <w:ind w:left="386" w:right="188" w:hanging="123"/>
              <w:rPr>
                <w:sz w:val="17"/>
              </w:rPr>
            </w:pPr>
            <w:r>
              <w:rPr>
                <w:sz w:val="17"/>
              </w:rPr>
              <w:t>Conforme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anexo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4" w:lineRule="auto" w:before="122"/>
              <w:ind w:left="394" w:right="192" w:hanging="123"/>
              <w:rPr>
                <w:sz w:val="17"/>
              </w:rPr>
            </w:pPr>
            <w:r>
              <w:rPr>
                <w:sz w:val="17"/>
              </w:rPr>
              <w:t>Conforme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anexo</w:t>
            </w:r>
          </w:p>
        </w:tc>
      </w:tr>
    </w:tbl>
    <w:sectPr>
      <w:type w:val="continuous"/>
      <w:pgSz w:w="11900" w:h="16840"/>
      <w:pgMar w:top="1040" w:bottom="280" w:left="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9" w:hanging="1599"/>
      <w:outlineLvl w:val="1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alex.pereira</dc:creator>
  <dc:title>Resultado Serviço HUAPA</dc:title>
  <dcterms:created xsi:type="dcterms:W3CDTF">2024-05-15T18:33:30Z</dcterms:created>
  <dcterms:modified xsi:type="dcterms:W3CDTF">2024-05-15T18:33:30Z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</Properties>
</file>