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2023175EM35790HEAPA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30" w:right="1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13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79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230" w:right="195"/>
              <w:jc w:val="center"/>
              <w:rPr>
                <w:sz w:val="19"/>
              </w:rPr>
            </w:pPr>
            <w:r>
              <w:rPr>
                <w:sz w:val="19"/>
              </w:rPr>
              <w:t>PORTAS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AÇO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DINAMICA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10" w:right="68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228" w:right="195"/>
              <w:jc w:val="center"/>
              <w:rPr>
                <w:sz w:val="19"/>
              </w:rPr>
            </w:pP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3" w:right="68"/>
              <w:jc w:val="center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SUBSTITUIÇÃO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VIDROS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13" w:right="63"/>
              <w:jc w:val="center"/>
              <w:rPr>
                <w:sz w:val="19"/>
              </w:rPr>
            </w:pPr>
            <w:r>
              <w:rPr>
                <w:sz w:val="19"/>
              </w:rPr>
              <w:t>APLICAÇÃO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PELÍCULA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SOLAR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CATEGORIA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G5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 w:before="15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1" w:lineRule="exact" w:before="15"/>
              <w:ind w:left="384"/>
              <w:rPr>
                <w:sz w:val="19"/>
              </w:rPr>
            </w:pPr>
            <w:r>
              <w:rPr>
                <w:sz w:val="19"/>
              </w:rPr>
              <w:t>3.928,42</w:t>
            </w:r>
          </w:p>
        </w:tc>
      </w:tr>
      <w:tr>
        <w:trPr>
          <w:trHeight w:val="42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2" w:right="68"/>
              <w:jc w:val="center"/>
              <w:rPr>
                <w:sz w:val="19"/>
              </w:rPr>
            </w:pPr>
            <w:r>
              <w:rPr>
                <w:sz w:val="19"/>
              </w:rPr>
              <w:t>BLACKOUT.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230" w:right="176"/>
              <w:jc w:val="center"/>
              <w:rPr>
                <w:sz w:val="21"/>
              </w:rPr>
            </w:pPr>
            <w:r>
              <w:rPr>
                <w:sz w:val="21"/>
              </w:rPr>
              <w:t>20.217.789/0001-44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13" w:right="5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17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35790_RESULTADO 202317EM35790HEAPA</dc:title>
  <dcterms:created xsi:type="dcterms:W3CDTF">2023-05-17T13:52:07Z</dcterms:created>
  <dcterms:modified xsi:type="dcterms:W3CDTF">2023-05-17T13:52:07Z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2023-05-17T00:00:00Z</vt:filetime>
  </property>
</Properties>
</file>