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406" w:right="387"/>
        <w:jc w:val="center"/>
      </w:pPr>
      <w:r>
        <w:rPr>
          <w:spacing w:val="-2"/>
        </w:rPr>
        <w:t>2023315TP37215HEAPA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00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391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b/>
          <w:spacing w:val="-2"/>
          <w:sz w:val="21"/>
        </w:rPr>
        <w:t>Goiânia</w:t>
      </w:r>
    </w:p>
    <w:p>
      <w:pPr>
        <w:spacing w:before="24"/>
        <w:ind w:left="406" w:right="374" w:firstLine="0"/>
        <w:jc w:val="center"/>
        <w:rPr>
          <w:sz w:val="21"/>
        </w:rPr>
      </w:pPr>
      <w:r>
        <w:rPr>
          <w:sz w:val="21"/>
        </w:rPr>
        <w:t>Av.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Diamante,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s/n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St.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Conde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dos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Arcos,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Goiânia/GO,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74.969-</w:t>
      </w:r>
      <w:r>
        <w:rPr>
          <w:spacing w:val="-5"/>
          <w:sz w:val="21"/>
        </w:rPr>
        <w:t>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8" w:right="13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16" w:right="6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78" w:right="147"/>
              <w:jc w:val="center"/>
              <w:rPr>
                <w:sz w:val="19"/>
              </w:rPr>
            </w:pPr>
            <w:r>
              <w:rPr>
                <w:sz w:val="19"/>
              </w:rPr>
              <w:t>MEDPLUS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HOSPITALAR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78" w:right="147"/>
              <w:jc w:val="center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3" w:right="88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116" w:right="88"/>
              <w:jc w:val="center"/>
              <w:rPr>
                <w:sz w:val="15"/>
              </w:rPr>
            </w:pPr>
            <w:r>
              <w:rPr>
                <w:sz w:val="15"/>
              </w:rPr>
              <w:t>SERVIÇOS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DE: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ASPIRADOR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CIRÚRGICO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(KSS/CS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5000E</w:t>
            </w:r>
          </w:p>
          <w:p>
            <w:pPr>
              <w:pStyle w:val="TableParagraph"/>
              <w:spacing w:before="25"/>
              <w:ind w:left="116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Nº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Série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600173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pacing w:val="-2"/>
                <w:sz w:val="19"/>
              </w:rPr>
              <w:t>1.972,00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8" w:right="124"/>
              <w:jc w:val="center"/>
              <w:rPr>
                <w:sz w:val="21"/>
              </w:rPr>
            </w:pPr>
            <w:r>
              <w:rPr>
                <w:sz w:val="21"/>
              </w:rPr>
              <w:t>34.075.280/0001-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16" w:right="5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81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37215_RESULTADO 2023315TP37215HEAPA</dc:title>
  <dcterms:created xsi:type="dcterms:W3CDTF">2023-05-31T13:47:53Z</dcterms:created>
  <dcterms:modified xsi:type="dcterms:W3CDTF">2023-05-31T13:47:53Z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  <property fmtid="{D5CDD505-2E9C-101B-9397-08002B2CF9AE}" pid="5" name="Producer">
    <vt:lpwstr>GPL Ghostscript 9.10</vt:lpwstr>
  </property>
</Properties>
</file>