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20"/>
        </w:rPr>
        <w:t> </w:t>
      </w:r>
      <w:r>
        <w:rPr/>
        <w:t>DO</w:t>
      </w:r>
      <w:r>
        <w:rPr>
          <w:spacing w:val="20"/>
        </w:rPr>
        <w:t> </w:t>
      </w:r>
      <w:r>
        <w:rPr/>
        <w:t>PROCESSO</w:t>
      </w:r>
    </w:p>
    <w:p>
      <w:pPr>
        <w:pStyle w:val="BodyText"/>
        <w:spacing w:before="161"/>
        <w:ind w:left="400" w:right="399"/>
        <w:jc w:val="center"/>
      </w:pPr>
      <w:r>
        <w:rPr/>
        <w:t>202377TP39134HEAPA</w:t>
      </w:r>
    </w:p>
    <w:p>
      <w:pPr>
        <w:pStyle w:val="BodyText"/>
        <w:rPr>
          <w:sz w:val="20"/>
        </w:rPr>
      </w:pPr>
    </w:p>
    <w:p>
      <w:pPr>
        <w:pStyle w:val="BodyText"/>
        <w:spacing w:line="252" w:lineRule="auto" w:before="180"/>
        <w:ind w:left="404" w:right="399"/>
        <w:jc w:val="center"/>
      </w:pPr>
      <w:r>
        <w:rPr/>
        <w:t>O</w:t>
      </w:r>
      <w:r>
        <w:rPr>
          <w:spacing w:val="-9"/>
        </w:rPr>
        <w:t> </w:t>
      </w:r>
      <w:r>
        <w:rPr/>
        <w:t>Instituto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Gestão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Humanização</w:t>
      </w:r>
      <w:r>
        <w:rPr>
          <w:spacing w:val="-7"/>
        </w:rPr>
        <w:t> </w:t>
      </w:r>
      <w:r>
        <w:rPr/>
        <w:t>–</w:t>
      </w:r>
      <w:r>
        <w:rPr>
          <w:spacing w:val="-9"/>
        </w:rPr>
        <w:t> </w:t>
      </w:r>
      <w:r>
        <w:rPr/>
        <w:t>IGH,</w:t>
      </w:r>
      <w:r>
        <w:rPr>
          <w:spacing w:val="-8"/>
        </w:rPr>
        <w:t> </w:t>
      </w:r>
      <w:r>
        <w:rPr/>
        <w:t>entidade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direito</w:t>
      </w:r>
      <w:r>
        <w:rPr>
          <w:spacing w:val="-8"/>
        </w:rPr>
        <w:t> </w:t>
      </w:r>
      <w:r>
        <w:rPr/>
        <w:t>privado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sem</w:t>
      </w:r>
      <w:r>
        <w:rPr>
          <w:spacing w:val="-8"/>
        </w:rPr>
        <w:t> </w:t>
      </w:r>
      <w:r>
        <w:rPr/>
        <w:t>fins</w:t>
      </w:r>
      <w:r>
        <w:rPr>
          <w:spacing w:val="-8"/>
        </w:rPr>
        <w:t> </w:t>
      </w:r>
      <w:r>
        <w:rPr/>
        <w:t>lucrativos,</w:t>
      </w:r>
      <w:r>
        <w:rPr>
          <w:spacing w:val="-49"/>
        </w:rPr>
        <w:t> </w:t>
      </w:r>
      <w:r>
        <w:rPr/>
        <w:t>classificado como Organização Social, vem tornar público o resultado de processo, com a</w:t>
      </w:r>
      <w:r>
        <w:rPr>
          <w:spacing w:val="1"/>
        </w:rPr>
        <w:t> </w:t>
      </w:r>
      <w:r>
        <w:rPr/>
        <w:t>finalidade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adquirir</w:t>
      </w:r>
      <w:r>
        <w:rPr>
          <w:spacing w:val="-3"/>
        </w:rPr>
        <w:t> </w:t>
      </w:r>
      <w:r>
        <w:rPr/>
        <w:t>bens,</w:t>
      </w:r>
      <w:r>
        <w:rPr>
          <w:spacing w:val="-5"/>
        </w:rPr>
        <w:t> </w:t>
      </w:r>
      <w:r>
        <w:rPr/>
        <w:t>insumos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serviços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a(s)</w:t>
      </w:r>
      <w:r>
        <w:rPr>
          <w:spacing w:val="-5"/>
        </w:rPr>
        <w:t> </w:t>
      </w:r>
      <w:r>
        <w:rPr/>
        <w:t>seguinte(s)</w:t>
      </w:r>
      <w:r>
        <w:rPr>
          <w:spacing w:val="-6"/>
        </w:rPr>
        <w:t> </w:t>
      </w:r>
      <w:r>
        <w:rPr/>
        <w:t>unidade(s):</w:t>
      </w:r>
    </w:p>
    <w:p>
      <w:pPr>
        <w:pStyle w:val="BodyText"/>
        <w:spacing w:before="9"/>
        <w:rPr>
          <w:sz w:val="12"/>
        </w:rPr>
      </w:pPr>
    </w:p>
    <w:p>
      <w:pPr>
        <w:spacing w:before="57"/>
        <w:ind w:left="404" w:right="388" w:firstLine="0"/>
        <w:jc w:val="center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>HEAPA</w:t>
      </w:r>
      <w:r>
        <w:rPr>
          <w:rFonts w:ascii="Calibri" w:hAnsi="Calibri"/>
          <w:b/>
          <w:spacing w:val="-4"/>
          <w:sz w:val="21"/>
        </w:rPr>
        <w:t> </w:t>
      </w:r>
      <w:r>
        <w:rPr>
          <w:rFonts w:ascii="Calibri" w:hAnsi="Calibri"/>
          <w:b/>
          <w:sz w:val="21"/>
        </w:rPr>
        <w:t>-</w:t>
      </w:r>
      <w:r>
        <w:rPr>
          <w:rFonts w:ascii="Calibri" w:hAnsi="Calibri"/>
          <w:b/>
          <w:spacing w:val="-3"/>
          <w:sz w:val="21"/>
        </w:rPr>
        <w:t> </w:t>
      </w:r>
      <w:r>
        <w:rPr>
          <w:rFonts w:ascii="Calibri" w:hAnsi="Calibri"/>
          <w:b/>
          <w:sz w:val="21"/>
        </w:rPr>
        <w:t>Hospital</w:t>
      </w:r>
      <w:r>
        <w:rPr>
          <w:rFonts w:ascii="Calibri" w:hAnsi="Calibri"/>
          <w:b/>
          <w:spacing w:val="-5"/>
          <w:sz w:val="21"/>
        </w:rPr>
        <w:t> </w:t>
      </w:r>
      <w:r>
        <w:rPr>
          <w:rFonts w:ascii="Calibri" w:hAnsi="Calibri"/>
          <w:b/>
          <w:sz w:val="21"/>
        </w:rPr>
        <w:t>Estadual</w:t>
      </w:r>
      <w:r>
        <w:rPr>
          <w:rFonts w:ascii="Calibri" w:hAnsi="Calibri"/>
          <w:b/>
          <w:spacing w:val="-5"/>
          <w:sz w:val="21"/>
        </w:rPr>
        <w:t> </w:t>
      </w:r>
      <w:r>
        <w:rPr>
          <w:rFonts w:ascii="Calibri" w:hAnsi="Calibri"/>
          <w:b/>
          <w:sz w:val="21"/>
        </w:rPr>
        <w:t>de</w:t>
      </w:r>
      <w:r>
        <w:rPr>
          <w:rFonts w:ascii="Calibri" w:hAnsi="Calibri"/>
          <w:b/>
          <w:spacing w:val="-4"/>
          <w:sz w:val="21"/>
        </w:rPr>
        <w:t> </w:t>
      </w:r>
      <w:r>
        <w:rPr>
          <w:rFonts w:ascii="Calibri" w:hAnsi="Calibri"/>
          <w:b/>
          <w:sz w:val="21"/>
        </w:rPr>
        <w:t>Aparecida</w:t>
      </w:r>
      <w:r>
        <w:rPr>
          <w:rFonts w:ascii="Calibri" w:hAnsi="Calibri"/>
          <w:b/>
          <w:spacing w:val="-4"/>
          <w:sz w:val="21"/>
        </w:rPr>
        <w:t> </w:t>
      </w:r>
      <w:r>
        <w:rPr>
          <w:rFonts w:ascii="Calibri" w:hAnsi="Calibri"/>
          <w:b/>
          <w:sz w:val="21"/>
        </w:rPr>
        <w:t>de</w:t>
      </w:r>
      <w:r>
        <w:rPr>
          <w:rFonts w:ascii="Calibri" w:hAnsi="Calibri"/>
          <w:b/>
          <w:spacing w:val="-4"/>
          <w:sz w:val="21"/>
        </w:rPr>
        <w:t> </w:t>
      </w:r>
      <w:r>
        <w:rPr>
          <w:rFonts w:ascii="Calibri" w:hAnsi="Calibri"/>
          <w:b/>
          <w:sz w:val="21"/>
        </w:rPr>
        <w:t>Goiânia</w:t>
      </w:r>
    </w:p>
    <w:p>
      <w:pPr>
        <w:spacing w:before="15"/>
        <w:ind w:left="404" w:right="387" w:firstLine="0"/>
        <w:jc w:val="center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Av.</w:t>
      </w:r>
      <w:r>
        <w:rPr>
          <w:rFonts w:ascii="Calibri" w:hAnsi="Calibri"/>
          <w:spacing w:val="-5"/>
          <w:sz w:val="21"/>
        </w:rPr>
        <w:t> </w:t>
      </w:r>
      <w:r>
        <w:rPr>
          <w:rFonts w:ascii="Calibri" w:hAnsi="Calibri"/>
          <w:sz w:val="21"/>
        </w:rPr>
        <w:t>Diamante,</w:t>
      </w:r>
      <w:r>
        <w:rPr>
          <w:rFonts w:ascii="Calibri" w:hAnsi="Calibri"/>
          <w:spacing w:val="-3"/>
          <w:sz w:val="21"/>
        </w:rPr>
        <w:t> </w:t>
      </w:r>
      <w:r>
        <w:rPr>
          <w:rFonts w:ascii="Calibri" w:hAnsi="Calibri"/>
          <w:sz w:val="21"/>
        </w:rPr>
        <w:t>s/n</w:t>
      </w:r>
      <w:r>
        <w:rPr>
          <w:rFonts w:ascii="Calibri" w:hAnsi="Calibri"/>
          <w:spacing w:val="-3"/>
          <w:sz w:val="21"/>
        </w:rPr>
        <w:t> </w:t>
      </w:r>
      <w:r>
        <w:rPr>
          <w:rFonts w:ascii="Calibri" w:hAnsi="Calibri"/>
          <w:sz w:val="21"/>
        </w:rPr>
        <w:t>-</w:t>
      </w:r>
      <w:r>
        <w:rPr>
          <w:rFonts w:ascii="Calibri" w:hAnsi="Calibri"/>
          <w:spacing w:val="-3"/>
          <w:sz w:val="21"/>
        </w:rPr>
        <w:t> </w:t>
      </w:r>
      <w:r>
        <w:rPr>
          <w:rFonts w:ascii="Calibri" w:hAnsi="Calibri"/>
          <w:sz w:val="21"/>
        </w:rPr>
        <w:t>St.</w:t>
      </w:r>
      <w:r>
        <w:rPr>
          <w:rFonts w:ascii="Calibri" w:hAnsi="Calibri"/>
          <w:spacing w:val="-4"/>
          <w:sz w:val="21"/>
        </w:rPr>
        <w:t> </w:t>
      </w:r>
      <w:r>
        <w:rPr>
          <w:rFonts w:ascii="Calibri" w:hAnsi="Calibri"/>
          <w:sz w:val="21"/>
        </w:rPr>
        <w:t>Conde</w:t>
      </w:r>
      <w:r>
        <w:rPr>
          <w:rFonts w:ascii="Calibri" w:hAnsi="Calibri"/>
          <w:spacing w:val="-5"/>
          <w:sz w:val="21"/>
        </w:rPr>
        <w:t> </w:t>
      </w:r>
      <w:r>
        <w:rPr>
          <w:rFonts w:ascii="Calibri" w:hAnsi="Calibri"/>
          <w:sz w:val="21"/>
        </w:rPr>
        <w:t>dos</w:t>
      </w:r>
      <w:r>
        <w:rPr>
          <w:rFonts w:ascii="Calibri" w:hAnsi="Calibri"/>
          <w:spacing w:val="-5"/>
          <w:sz w:val="21"/>
        </w:rPr>
        <w:t> </w:t>
      </w:r>
      <w:r>
        <w:rPr>
          <w:rFonts w:ascii="Calibri" w:hAnsi="Calibri"/>
          <w:sz w:val="21"/>
        </w:rPr>
        <w:t>Arcos,</w:t>
      </w:r>
      <w:r>
        <w:rPr>
          <w:rFonts w:ascii="Calibri" w:hAnsi="Calibri"/>
          <w:spacing w:val="-3"/>
          <w:sz w:val="21"/>
        </w:rPr>
        <w:t> </w:t>
      </w:r>
      <w:r>
        <w:rPr>
          <w:rFonts w:ascii="Calibri" w:hAnsi="Calibri"/>
          <w:sz w:val="21"/>
        </w:rPr>
        <w:t>Aparecida</w:t>
      </w:r>
      <w:r>
        <w:rPr>
          <w:rFonts w:ascii="Calibri" w:hAnsi="Calibri"/>
          <w:spacing w:val="-3"/>
          <w:sz w:val="21"/>
        </w:rPr>
        <w:t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-5"/>
          <w:sz w:val="21"/>
        </w:rPr>
        <w:t> </w:t>
      </w:r>
      <w:r>
        <w:rPr>
          <w:rFonts w:ascii="Calibri" w:hAnsi="Calibri"/>
          <w:sz w:val="21"/>
        </w:rPr>
        <w:t>Goiânia/GO,</w:t>
      </w:r>
      <w:r>
        <w:rPr>
          <w:rFonts w:ascii="Calibri" w:hAnsi="Calibri"/>
          <w:spacing w:val="-3"/>
          <w:sz w:val="21"/>
        </w:rPr>
        <w:t> </w:t>
      </w:r>
      <w:r>
        <w:rPr>
          <w:rFonts w:ascii="Calibri" w:hAnsi="Calibri"/>
          <w:sz w:val="21"/>
        </w:rPr>
        <w:t>CEP:</w:t>
      </w:r>
      <w:r>
        <w:rPr>
          <w:rFonts w:ascii="Calibri" w:hAnsi="Calibri"/>
          <w:spacing w:val="-5"/>
          <w:sz w:val="21"/>
        </w:rPr>
        <w:t> </w:t>
      </w:r>
      <w:r>
        <w:rPr>
          <w:rFonts w:ascii="Calibri" w:hAnsi="Calibri"/>
          <w:sz w:val="21"/>
        </w:rPr>
        <w:t>74.969-210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13"/>
        </w:rPr>
      </w:pPr>
    </w:p>
    <w:tbl>
      <w:tblPr>
        <w:tblW w:w="0" w:type="auto"/>
        <w:jc w:val="left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1"/>
        <w:gridCol w:w="4677"/>
        <w:gridCol w:w="1793"/>
      </w:tblGrid>
      <w:tr>
        <w:trPr>
          <w:trHeight w:val="984" w:hRule="atLeast"/>
        </w:trPr>
        <w:tc>
          <w:tcPr>
            <w:tcW w:w="2581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spacing w:before="1"/>
              <w:ind w:left="695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67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spacing w:before="1"/>
              <w:ind w:left="298" w:right="24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793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line="254" w:lineRule="auto" w:before="1"/>
              <w:ind w:left="438" w:right="335" w:hanging="34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VALOR </w:t>
            </w:r>
            <w:r>
              <w:rPr>
                <w:b/>
                <w:sz w:val="21"/>
              </w:rPr>
              <w:t>SOB</w:t>
            </w:r>
            <w:r>
              <w:rPr>
                <w:b/>
                <w:spacing w:val="-45"/>
                <w:sz w:val="21"/>
              </w:rPr>
              <w:t> </w:t>
            </w:r>
            <w:r>
              <w:rPr>
                <w:b/>
                <w:sz w:val="21"/>
              </w:rPr>
              <w:t>DEMANDA</w:t>
            </w:r>
          </w:p>
        </w:tc>
      </w:tr>
      <w:tr>
        <w:trPr>
          <w:trHeight w:val="2554" w:hRule="atLeast"/>
        </w:trPr>
        <w:tc>
          <w:tcPr>
            <w:tcW w:w="258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264" w:lineRule="auto" w:before="111"/>
              <w:ind w:left="193" w:right="166"/>
              <w:jc w:val="center"/>
              <w:rPr>
                <w:sz w:val="15"/>
              </w:rPr>
            </w:pPr>
            <w:r>
              <w:rPr>
                <w:sz w:val="15"/>
              </w:rPr>
              <w:t>EL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SHADDAI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COMERCIO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TENDAS</w:t>
            </w:r>
            <w:r>
              <w:rPr>
                <w:spacing w:val="-31"/>
                <w:sz w:val="15"/>
              </w:rPr>
              <w:t> </w:t>
            </w:r>
            <w:r>
              <w:rPr>
                <w:sz w:val="15"/>
              </w:rPr>
              <w:t>LTDA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193" w:right="154"/>
              <w:jc w:val="center"/>
              <w:rPr>
                <w:sz w:val="17"/>
              </w:rPr>
            </w:pPr>
            <w:r>
              <w:rPr>
                <w:sz w:val="17"/>
              </w:rPr>
              <w:t>10.458.225/0001-40</w:t>
            </w:r>
          </w:p>
        </w:tc>
        <w:tc>
          <w:tcPr>
            <w:tcW w:w="467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264" w:lineRule="auto"/>
              <w:ind w:left="298" w:right="260"/>
              <w:jc w:val="center"/>
              <w:rPr>
                <w:sz w:val="15"/>
              </w:rPr>
            </w:pPr>
            <w:r>
              <w:rPr>
                <w:sz w:val="15"/>
              </w:rPr>
              <w:t>CONTRATAÇÃO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EMPRESA ESPECIALIZADA PARA PRESTAÇÃO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> </w:t>
            </w:r>
            <w:r>
              <w:rPr>
                <w:sz w:val="15"/>
              </w:rPr>
              <w:t>SERVIÇOS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DE: LOCAÇÃO DE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TENDAS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spacing w:line="201" w:lineRule="exact" w:before="1"/>
              <w:ind w:left="298" w:right="249"/>
              <w:jc w:val="center"/>
              <w:rPr>
                <w:sz w:val="17"/>
              </w:rPr>
            </w:pPr>
            <w:r>
              <w:rPr>
                <w:sz w:val="17"/>
              </w:rPr>
              <w:t>CONTRATO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493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1.800,00</w:t>
            </w:r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18"/>
        </w:rPr>
      </w:pPr>
    </w:p>
    <w:p>
      <w:pPr>
        <w:tabs>
          <w:tab w:pos="5631" w:val="left" w:leader="none"/>
        </w:tabs>
        <w:spacing w:before="56"/>
        <w:ind w:left="4165" w:right="0" w:firstLine="0"/>
        <w:jc w:val="lef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Goiânia - GO</w:t>
      </w:r>
      <w:r>
        <w:rPr>
          <w:rFonts w:ascii="Times New Roman" w:hAnsi="Times New Roman"/>
          <w:sz w:val="21"/>
        </w:rPr>
        <w:tab/>
      </w:r>
      <w:r>
        <w:rPr>
          <w:rFonts w:ascii="Calibri" w:hAnsi="Calibri"/>
          <w:position w:val="1"/>
          <w:sz w:val="21"/>
        </w:rPr>
        <w:t>27</w:t>
      </w:r>
      <w:r>
        <w:rPr>
          <w:rFonts w:ascii="Calibri" w:hAnsi="Calibri"/>
          <w:spacing w:val="-3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Calibri" w:hAnsi="Calibri"/>
          <w:spacing w:val="-3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março</w:t>
      </w:r>
      <w:r>
        <w:rPr>
          <w:rFonts w:ascii="Calibri" w:hAnsi="Calibri"/>
          <w:spacing w:val="-2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Calibri" w:hAnsi="Calibri"/>
          <w:spacing w:val="-3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2024</w:t>
      </w:r>
    </w:p>
    <w:sectPr>
      <w:type w:val="continuous"/>
      <w:pgSz w:w="11900" w:h="16840"/>
      <w:pgMar w:top="1140" w:bottom="280" w:left="12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8"/>
      <w:ind w:left="404" w:right="379"/>
      <w:jc w:val="center"/>
    </w:pPr>
    <w:rPr>
      <w:rFonts w:ascii="Calibri Light" w:hAnsi="Calibri Light" w:eastAsia="Calibri Light" w:cs="Calibri Light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diego.pinto</dc:creator>
  <dc:title>(FOLLOW UP SERVIÇOS - GOIÁS - 2023.xlsx)</dc:title>
  <dcterms:created xsi:type="dcterms:W3CDTF">2024-03-27T17:03:58Z</dcterms:created>
  <dcterms:modified xsi:type="dcterms:W3CDTF">2024-03-27T17:03:58Z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2024-03-27T00:00:00Z</vt:filetime>
  </property>
</Properties>
</file>