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3" w:firstLine="0"/>
        <w:jc w:val="center"/>
        <w:rPr>
          <w:sz w:val="22"/>
        </w:rPr>
      </w:pPr>
      <w:r>
        <w:rPr>
          <w:sz w:val="22"/>
        </w:rPr>
        <w:t>2024224TP58187HEAPA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Aparecida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Goiânia</w:t>
      </w:r>
    </w:p>
    <w:p>
      <w:pPr>
        <w:pStyle w:val="BodyText"/>
        <w:spacing w:before="22"/>
        <w:ind w:left="192" w:right="192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7" w:right="260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67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217" w:right="187"/>
              <w:jc w:val="center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PONTO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17" w:right="179"/>
              <w:jc w:val="center"/>
              <w:rPr>
                <w:sz w:val="20"/>
              </w:rPr>
            </w:pPr>
            <w:r>
              <w:rPr>
                <w:sz w:val="20"/>
              </w:rPr>
              <w:t>40.432.605.0001-76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367" w:right="1327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RELÓGIO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PONTO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367" w:right="1314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1.055,00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22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2024-04-22T17:43:08Z</dcterms:created>
  <dcterms:modified xsi:type="dcterms:W3CDTF">2024-04-22T17:43:08Z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