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BD1C" w14:textId="77777777" w:rsidR="00BE7AAA" w:rsidRDefault="00000000">
      <w:pPr>
        <w:spacing w:before="37"/>
        <w:ind w:left="2604" w:right="2650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b/>
          <w:i/>
          <w:sz w:val="24"/>
        </w:rPr>
        <w:t>PRORROGAÇÃO</w:t>
      </w:r>
    </w:p>
    <w:p w14:paraId="22B2BADC" w14:textId="77777777" w:rsidR="00BE7AAA" w:rsidRDefault="00000000">
      <w:pPr>
        <w:pStyle w:val="Ttulo1"/>
        <w:spacing w:before="182"/>
        <w:ind w:left="2528"/>
        <w:jc w:val="center"/>
      </w:pPr>
      <w:r>
        <w:t>Nº</w:t>
      </w:r>
      <w:r>
        <w:rPr>
          <w:spacing w:val="-4"/>
        </w:rPr>
        <w:t xml:space="preserve"> </w:t>
      </w:r>
      <w:r>
        <w:t>20211309S012HEMNSL</w:t>
      </w:r>
    </w:p>
    <w:p w14:paraId="3DB752AD" w14:textId="77777777" w:rsidR="00BE7AAA" w:rsidRDefault="00BE7AAA">
      <w:pPr>
        <w:pStyle w:val="Corpodetexto"/>
        <w:rPr>
          <w:sz w:val="24"/>
        </w:rPr>
      </w:pPr>
    </w:p>
    <w:p w14:paraId="3CEB9F00" w14:textId="77777777" w:rsidR="00BE7AAA" w:rsidRDefault="00BE7AAA">
      <w:pPr>
        <w:pStyle w:val="Corpodetexto"/>
        <w:spacing w:before="3"/>
        <w:rPr>
          <w:sz w:val="30"/>
        </w:rPr>
      </w:pPr>
    </w:p>
    <w:p w14:paraId="363F88E9" w14:textId="77777777" w:rsidR="00BE7AAA" w:rsidRDefault="00000000">
      <w:pPr>
        <w:spacing w:line="276" w:lineRule="auto"/>
        <w:ind w:left="122" w:right="167"/>
        <w:jc w:val="both"/>
        <w:rPr>
          <w:sz w:val="24"/>
        </w:rPr>
      </w:pPr>
      <w:r>
        <w:rPr>
          <w:sz w:val="24"/>
        </w:rPr>
        <w:t>O Instituto de Gestão e Humanização</w:t>
      </w:r>
      <w:r>
        <w:rPr>
          <w:spacing w:val="1"/>
          <w:sz w:val="24"/>
        </w:rPr>
        <w:t xml:space="preserve"> </w:t>
      </w:r>
      <w:r>
        <w:rPr>
          <w:sz w:val="24"/>
        </w:rPr>
        <w:t>– IGH, entidade de direito privado e sem 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lucrativos, classificado como Organização Social, vem tornar público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a prorrogação</w:t>
      </w:r>
      <w:r>
        <w:rPr>
          <w:b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Tomada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Preços,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finalidade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adquirir</w:t>
      </w:r>
      <w:r>
        <w:rPr>
          <w:spacing w:val="1"/>
          <w:sz w:val="24"/>
        </w:rPr>
        <w:t xml:space="preserve"> </w:t>
      </w:r>
      <w:r>
        <w:rPr>
          <w:sz w:val="24"/>
        </w:rPr>
        <w:t>bens, insumos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HEMNSL</w:t>
      </w:r>
    </w:p>
    <w:p w14:paraId="3E74182E" w14:textId="77777777" w:rsidR="00BE7AAA" w:rsidRDefault="00000000">
      <w:pPr>
        <w:pStyle w:val="Ttulo1"/>
        <w:spacing w:line="278" w:lineRule="auto"/>
        <w:ind w:right="171"/>
      </w:pP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Est.</w:t>
      </w:r>
      <w:r>
        <w:rPr>
          <w:spacing w:val="-7"/>
        </w:rPr>
        <w:t xml:space="preserve"> </w:t>
      </w:r>
      <w:r>
        <w:t>Maternidade</w:t>
      </w:r>
      <w:r>
        <w:rPr>
          <w:spacing w:val="-4"/>
        </w:rPr>
        <w:t xml:space="preserve"> </w:t>
      </w:r>
      <w:r>
        <w:t>Nossa</w:t>
      </w:r>
      <w:r>
        <w:rPr>
          <w:spacing w:val="-4"/>
        </w:rPr>
        <w:t xml:space="preserve"> </w:t>
      </w:r>
      <w:r>
        <w:t>Senhora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Lourdes,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230,</w:t>
      </w:r>
      <w:r>
        <w:rPr>
          <w:spacing w:val="-4"/>
        </w:rPr>
        <w:t xml:space="preserve"> </w:t>
      </w:r>
      <w:r>
        <w:t>Qd.</w:t>
      </w:r>
      <w:r>
        <w:rPr>
          <w:spacing w:val="-5"/>
        </w:rPr>
        <w:t xml:space="preserve"> </w:t>
      </w:r>
      <w:r>
        <w:t>709,</w:t>
      </w:r>
      <w:r>
        <w:rPr>
          <w:spacing w:val="-5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Vila,</w:t>
      </w:r>
      <w:r>
        <w:rPr>
          <w:spacing w:val="-2"/>
        </w:rPr>
        <w:t xml:space="preserve"> </w:t>
      </w:r>
      <w:r>
        <w:t>Goiânia/GO, CEP: 74.640-210.</w:t>
      </w:r>
    </w:p>
    <w:p w14:paraId="06D065C5" w14:textId="77777777" w:rsidR="00BE7AAA" w:rsidRDefault="00BE7AAA">
      <w:pPr>
        <w:pStyle w:val="Corpodetexto"/>
        <w:spacing w:before="1"/>
        <w:rPr>
          <w:sz w:val="27"/>
        </w:rPr>
      </w:pPr>
    </w:p>
    <w:p w14:paraId="03DCEDDE" w14:textId="77777777" w:rsidR="00BE7AAA" w:rsidRDefault="00000000">
      <w:pPr>
        <w:ind w:left="2528" w:right="2577"/>
        <w:jc w:val="center"/>
        <w:rPr>
          <w:sz w:val="24"/>
        </w:rPr>
      </w:pPr>
      <w:r>
        <w:rPr>
          <w:sz w:val="24"/>
          <w:u w:val="single"/>
        </w:rPr>
        <w:t>PERÍODO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COTAÇÃO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PRORROGADO</w:t>
      </w:r>
    </w:p>
    <w:p w14:paraId="4D9E1312" w14:textId="77777777" w:rsidR="00BE7AAA" w:rsidRDefault="00000000">
      <w:pPr>
        <w:spacing w:before="46"/>
        <w:ind w:left="122"/>
        <w:jc w:val="both"/>
        <w:rPr>
          <w:b/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06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outubro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</w:p>
    <w:p w14:paraId="444E86EF" w14:textId="77777777" w:rsidR="00BE7AAA" w:rsidRDefault="00BE7AAA">
      <w:pPr>
        <w:pStyle w:val="Corpodetexto"/>
        <w:spacing w:before="1"/>
        <w:rPr>
          <w:b/>
          <w:sz w:val="31"/>
        </w:rPr>
      </w:pPr>
    </w:p>
    <w:p w14:paraId="139B6029" w14:textId="77777777" w:rsidR="00BE7AAA" w:rsidRDefault="00000000">
      <w:pPr>
        <w:pStyle w:val="Ttulo1"/>
        <w:spacing w:line="276" w:lineRule="auto"/>
        <w:ind w:right="168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4AC4B67F" w14:textId="77777777" w:rsidR="00BE7AAA" w:rsidRDefault="00BE7AAA">
      <w:pPr>
        <w:pStyle w:val="Corpodetexto"/>
        <w:spacing w:before="8"/>
        <w:rPr>
          <w:sz w:val="27"/>
        </w:rPr>
      </w:pPr>
    </w:p>
    <w:p w14:paraId="779A096A" w14:textId="77777777" w:rsidR="00BE7AAA" w:rsidRDefault="00000000">
      <w:pPr>
        <w:pStyle w:val="Corpodetexto"/>
        <w:spacing w:line="276" w:lineRule="auto"/>
        <w:ind w:left="122" w:right="167"/>
        <w:jc w:val="both"/>
      </w:pP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 informações: Nome comercial da empresa, CNPJ, Endereço, Contato da área comercial,</w:t>
      </w:r>
      <w:r>
        <w:rPr>
          <w:spacing w:val="-47"/>
        </w:rPr>
        <w:t xml:space="preserve"> </w:t>
      </w:r>
      <w:r>
        <w:t>E-mail, Telefone, Descrição do objeto, Valor expresso em reais, incluindo frete (CIF), Prazo de</w:t>
      </w:r>
      <w:r>
        <w:rPr>
          <w:spacing w:val="1"/>
        </w:rPr>
        <w:t xml:space="preserve"> </w:t>
      </w:r>
      <w:r>
        <w:t>Entrega, Prazo de Garantia do Serviço, Prazo de Pagamento, Pagamento – mediante crédito em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 Jurídica) de titularidade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6B681B32" w14:textId="77777777" w:rsidR="00BE7AAA" w:rsidRDefault="00000000">
      <w:pPr>
        <w:pStyle w:val="Corpodetexto"/>
        <w:spacing w:line="266" w:lineRule="exact"/>
        <w:ind w:left="122"/>
        <w:jc w:val="both"/>
      </w:pPr>
      <w:r>
        <w:t>crédito</w:t>
      </w:r>
      <w:r>
        <w:rPr>
          <w:spacing w:val="-2"/>
        </w:rPr>
        <w:t xml:space="preserve"> </w:t>
      </w:r>
      <w:r>
        <w:t>em conta</w:t>
      </w:r>
      <w:r>
        <w:rPr>
          <w:spacing w:val="-1"/>
        </w:rPr>
        <w:t xml:space="preserve"> </w:t>
      </w:r>
      <w:r>
        <w:t>bancária</w:t>
      </w:r>
      <w:r>
        <w:rPr>
          <w:spacing w:val="-3"/>
        </w:rPr>
        <w:t xml:space="preserve"> </w:t>
      </w:r>
      <w:r>
        <w:t>(Pessoa</w:t>
      </w:r>
      <w:r>
        <w:rPr>
          <w:spacing w:val="-4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titularidade do Contratado.</w:t>
      </w:r>
    </w:p>
    <w:p w14:paraId="13E83864" w14:textId="77777777" w:rsidR="00BE7AAA" w:rsidRDefault="00BE7AAA">
      <w:pPr>
        <w:pStyle w:val="Corpodetexto"/>
        <w:rPr>
          <w:sz w:val="20"/>
        </w:rPr>
      </w:pPr>
    </w:p>
    <w:p w14:paraId="4EC8051B" w14:textId="77777777" w:rsidR="00BE7AAA" w:rsidRDefault="00BE7AAA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BE7AAA" w14:paraId="3570DF8E" w14:textId="77777777">
        <w:trPr>
          <w:trHeight w:val="220"/>
        </w:trPr>
        <w:tc>
          <w:tcPr>
            <w:tcW w:w="8790" w:type="dxa"/>
            <w:shd w:val="clear" w:color="auto" w:fill="F1F1F1"/>
          </w:tcPr>
          <w:p w14:paraId="6A78C029" w14:textId="77777777" w:rsidR="00BE7AA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BE7AAA" w14:paraId="2EE84698" w14:textId="77777777">
        <w:trPr>
          <w:trHeight w:val="254"/>
        </w:trPr>
        <w:tc>
          <w:tcPr>
            <w:tcW w:w="8790" w:type="dxa"/>
          </w:tcPr>
          <w:p w14:paraId="463D0B53" w14:textId="77777777" w:rsidR="00BE7AAA" w:rsidRDefault="00000000">
            <w:pPr>
              <w:pStyle w:val="TableParagraph"/>
              <w:spacing w:before="15" w:line="218" w:lineRule="exact"/>
              <w:ind w:left="1629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CONTAINER.</w:t>
            </w:r>
          </w:p>
        </w:tc>
      </w:tr>
    </w:tbl>
    <w:p w14:paraId="1FE90E16" w14:textId="77777777" w:rsidR="00BE7AAA" w:rsidRDefault="00BE7AAA">
      <w:pPr>
        <w:pStyle w:val="Corpodetexto"/>
        <w:rPr>
          <w:sz w:val="20"/>
        </w:rPr>
      </w:pPr>
    </w:p>
    <w:p w14:paraId="4ACE25CD" w14:textId="77777777" w:rsidR="00BE7AAA" w:rsidRDefault="00BE7AAA">
      <w:pPr>
        <w:pStyle w:val="Corpodetexto"/>
        <w:spacing w:before="6"/>
        <w:rPr>
          <w:sz w:val="16"/>
        </w:rPr>
      </w:pPr>
    </w:p>
    <w:p w14:paraId="618D1212" w14:textId="77777777" w:rsidR="00BE7AAA" w:rsidRDefault="00000000">
      <w:pPr>
        <w:spacing w:line="259" w:lineRule="auto"/>
        <w:ind w:left="122" w:right="647"/>
        <w:rPr>
          <w:b/>
        </w:rPr>
      </w:pPr>
      <w:r>
        <w:rPr>
          <w:b/>
        </w:rPr>
        <w:t>Prorroga-se o prazo para recebimento de propostas comerciais referente a contratação do</w:t>
      </w:r>
      <w:r>
        <w:rPr>
          <w:b/>
          <w:spacing w:val="-47"/>
        </w:rPr>
        <w:t xml:space="preserve"> </w:t>
      </w:r>
      <w:r>
        <w:rPr>
          <w:b/>
        </w:rPr>
        <w:t>objeto</w:t>
      </w:r>
      <w:r>
        <w:rPr>
          <w:b/>
          <w:spacing w:val="-2"/>
        </w:rPr>
        <w:t xml:space="preserve"> </w:t>
      </w:r>
      <w:r>
        <w:rPr>
          <w:b/>
        </w:rPr>
        <w:t>supracitado.</w:t>
      </w:r>
    </w:p>
    <w:p w14:paraId="7BFB2C41" w14:textId="77777777" w:rsidR="00BE7AAA" w:rsidRDefault="00000000">
      <w:pPr>
        <w:pStyle w:val="Corpodetexto"/>
        <w:spacing w:before="159" w:line="259" w:lineRule="auto"/>
        <w:ind w:left="122" w:right="17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6DDDB325" w14:textId="77777777" w:rsidR="00BE7AAA" w:rsidRDefault="00BE7AAA">
      <w:pPr>
        <w:pStyle w:val="Corpodetexto"/>
        <w:rPr>
          <w:sz w:val="20"/>
        </w:rPr>
      </w:pPr>
    </w:p>
    <w:p w14:paraId="6D2E8441" w14:textId="77777777" w:rsidR="00BE7AAA" w:rsidRDefault="00BE7AAA">
      <w:pPr>
        <w:pStyle w:val="Corpodetexto"/>
        <w:spacing w:before="5"/>
        <w:rPr>
          <w:sz w:val="25"/>
        </w:rPr>
      </w:pPr>
    </w:p>
    <w:p w14:paraId="2C94AE85" w14:textId="77777777" w:rsidR="00BE7AAA" w:rsidRDefault="00000000">
      <w:pPr>
        <w:pStyle w:val="Corpodetexto"/>
        <w:spacing w:before="56"/>
        <w:ind w:left="122"/>
      </w:pPr>
      <w:r>
        <w:t>Goiânia/GO,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 de</w:t>
      </w:r>
      <w:r>
        <w:rPr>
          <w:spacing w:val="-3"/>
        </w:rPr>
        <w:t xml:space="preserve"> </w:t>
      </w:r>
      <w:r>
        <w:t>2021.</w:t>
      </w:r>
    </w:p>
    <w:p w14:paraId="5EF7F65C" w14:textId="77777777" w:rsidR="00BE7AAA" w:rsidRDefault="00BE7AAA">
      <w:pPr>
        <w:pStyle w:val="Corpodetexto"/>
        <w:spacing w:before="7"/>
        <w:rPr>
          <w:sz w:val="27"/>
        </w:rPr>
      </w:pPr>
    </w:p>
    <w:sectPr w:rsidR="00BE7AAA">
      <w:type w:val="continuous"/>
      <w:pgSz w:w="11910" w:h="16840"/>
      <w:pgMar w:top="136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AAA"/>
    <w:rsid w:val="00BE7AAA"/>
    <w:rsid w:val="00D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F422"/>
  <w15:docId w15:val="{A7C59FF7-8230-4329-B344-ADF524B5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2" w:right="2577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</w:pPr>
    <w:rPr>
      <w:rFonts w:ascii="Trebuchet MS" w:eastAsia="Trebuchet MS" w:hAnsi="Trebuchet MS" w:cs="Trebuchet MS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1628" w:right="16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2023-05-25T18:17:00Z</dcterms:created>
  <dcterms:modified xsi:type="dcterms:W3CDTF">2023-05-25T18:17:00Z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