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 PREÇO</w:t>
      </w:r>
    </w:p>
    <w:p>
      <w:pPr>
        <w:pStyle w:val="Heading1"/>
        <w:spacing w:before="182"/>
        <w:ind w:left="3184" w:right="3667"/>
      </w:pPr>
      <w:r>
        <w:rPr/>
        <w:t>N°</w:t>
      </w:r>
      <w:r>
        <w:rPr>
          <w:spacing w:val="-9"/>
        </w:rPr>
        <w:t> </w:t>
      </w:r>
      <w:r>
        <w:rPr/>
        <w:t>20211309S012HEMNSL</w:t>
      </w:r>
    </w:p>
    <w:p>
      <w:pPr>
        <w:spacing w:line="276" w:lineRule="auto" w:before="187"/>
        <w:ind w:left="121" w:right="602" w:firstLine="0"/>
        <w:jc w:val="both"/>
        <w:rPr>
          <w:sz w:val="24"/>
        </w:rPr>
      </w:pPr>
      <w:r>
        <w:rPr>
          <w:sz w:val="24"/>
        </w:rPr>
        <w:t>O Instituto de Gestão e Humanização – IGH, entidade de direito privado e sem fins</w:t>
      </w:r>
      <w:r>
        <w:rPr>
          <w:spacing w:val="1"/>
          <w:sz w:val="24"/>
        </w:rPr>
        <w:t> </w:t>
      </w:r>
      <w:r>
        <w:rPr>
          <w:sz w:val="24"/>
        </w:rPr>
        <w:t>lucrativos,</w:t>
      </w:r>
      <w:r>
        <w:rPr>
          <w:spacing w:val="-12"/>
          <w:sz w:val="24"/>
        </w:rPr>
        <w:t> </w:t>
      </w:r>
      <w:r>
        <w:rPr>
          <w:sz w:val="24"/>
        </w:rPr>
        <w:t>classificado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Organização</w:t>
      </w:r>
      <w:r>
        <w:rPr>
          <w:spacing w:val="-13"/>
          <w:sz w:val="24"/>
        </w:rPr>
        <w:t> </w:t>
      </w:r>
      <w:r>
        <w:rPr>
          <w:sz w:val="24"/>
        </w:rPr>
        <w:t>Social,</w:t>
      </w:r>
      <w:r>
        <w:rPr>
          <w:spacing w:val="-11"/>
          <w:sz w:val="24"/>
        </w:rPr>
        <w:t> </w:t>
      </w:r>
      <w:r>
        <w:rPr>
          <w:sz w:val="24"/>
        </w:rPr>
        <w:t>vem</w:t>
      </w:r>
      <w:r>
        <w:rPr>
          <w:spacing w:val="-10"/>
          <w:sz w:val="24"/>
        </w:rPr>
        <w:t> </w:t>
      </w:r>
      <w:r>
        <w:rPr>
          <w:sz w:val="24"/>
        </w:rPr>
        <w:t>tornar</w:t>
      </w:r>
      <w:r>
        <w:rPr>
          <w:spacing w:val="-11"/>
          <w:sz w:val="24"/>
        </w:rPr>
        <w:t> </w:t>
      </w:r>
      <w:r>
        <w:rPr>
          <w:sz w:val="24"/>
        </w:rPr>
        <w:t>público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Tomada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Preços,</w:t>
      </w:r>
      <w:r>
        <w:rPr>
          <w:spacing w:val="-51"/>
          <w:sz w:val="24"/>
        </w:rPr>
        <w:t> </w:t>
      </w:r>
      <w:r>
        <w:rPr>
          <w:sz w:val="24"/>
        </w:rPr>
        <w:t>com a finalidade de adquirir bens, insumos e serviços para o </w:t>
      </w:r>
      <w:r>
        <w:rPr>
          <w:b/>
          <w:sz w:val="24"/>
        </w:rPr>
        <w:t>HEMNSL - Hospital Est.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Maternidade Nossa Senhora de Lourdes</w:t>
      </w:r>
      <w:r>
        <w:rPr>
          <w:sz w:val="24"/>
        </w:rPr>
        <w:t>, com endereço à Rua 230, Qd. 709, S/N, Setor</w:t>
      </w:r>
      <w:r>
        <w:rPr>
          <w:spacing w:val="1"/>
          <w:sz w:val="24"/>
        </w:rPr>
        <w:t> </w:t>
      </w:r>
      <w:r>
        <w:rPr>
          <w:sz w:val="24"/>
        </w:rPr>
        <w:t>Nova Vila,</w:t>
      </w:r>
      <w:r>
        <w:rPr>
          <w:spacing w:val="1"/>
          <w:sz w:val="24"/>
        </w:rPr>
        <w:t> </w:t>
      </w:r>
      <w:r>
        <w:rPr>
          <w:sz w:val="24"/>
        </w:rPr>
        <w:t>Goiânia/GO, CEP:</w:t>
      </w:r>
      <w:r>
        <w:rPr>
          <w:spacing w:val="1"/>
          <w:sz w:val="24"/>
        </w:rPr>
        <w:t> </w:t>
      </w:r>
      <w:r>
        <w:rPr>
          <w:sz w:val="24"/>
        </w:rPr>
        <w:t>74.640-210.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3184" w:right="3667" w:firstLine="0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COTAÇÃO</w:t>
      </w:r>
    </w:p>
    <w:p>
      <w:pPr>
        <w:spacing w:before="43"/>
        <w:ind w:left="121" w:right="0" w:firstLine="0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propostas:</w:t>
      </w:r>
      <w:r>
        <w:rPr>
          <w:spacing w:val="-3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before="46"/>
        <w:ind w:left="121" w:right="0" w:firstLine="0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propostas:</w:t>
      </w:r>
      <w:r>
        <w:rPr>
          <w:spacing w:val="-4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4"/>
        </w:rPr>
      </w:pPr>
    </w:p>
    <w:p>
      <w:pPr>
        <w:pStyle w:val="Heading1"/>
        <w:spacing w:line="276" w:lineRule="auto" w:before="198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> </w:t>
        </w:r>
      </w:hyperlink>
      <w:r>
        <w:rPr/>
        <w:t>ou buscar informações no seguinte endereço: Rua 230, Qd.</w:t>
      </w:r>
      <w:r>
        <w:rPr>
          <w:spacing w:val="-52"/>
        </w:rPr>
        <w:t> </w:t>
      </w:r>
      <w:r>
        <w:rPr/>
        <w:t>709, S/N,</w:t>
      </w:r>
      <w:r>
        <w:rPr>
          <w:spacing w:val="-3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</w:t>
      </w:r>
      <w:r>
        <w:rPr>
          <w:spacing w:val="-2"/>
        </w:rPr>
        <w:t> </w:t>
      </w:r>
      <w:r>
        <w:rPr/>
        <w:t>74.640-210.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21" w:right="602"/>
        <w:jc w:val="both"/>
      </w:pP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> </w:t>
      </w:r>
      <w:r>
        <w:rPr/>
        <w:t>contendo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 informações: Nome comercial da empresa, CNPJ, Endereço, Contato da área comercial,</w:t>
      </w:r>
      <w:r>
        <w:rPr>
          <w:spacing w:val="-47"/>
        </w:rPr>
        <w:t> </w:t>
      </w:r>
      <w:r>
        <w:rPr/>
        <w:t>E-mail, Telefone, Descrição do objeto, Valor expresso em reais, incluindo frete (CIF), Prazo de</w:t>
      </w:r>
      <w:r>
        <w:rPr>
          <w:spacing w:val="1"/>
        </w:rPr>
        <w:t> </w:t>
      </w:r>
      <w:r>
        <w:rPr/>
        <w:t>Entrega, Prazo de Garantia do Serviço, Prazo de Pagamento, Pagamento – mediante crédito em</w:t>
      </w:r>
      <w:r>
        <w:rPr>
          <w:spacing w:val="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 (Pessoa 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1"/>
        <w:gridCol w:w="1982"/>
      </w:tblGrid>
      <w:tr>
        <w:trPr>
          <w:trHeight w:val="239" w:hRule="atLeast"/>
        </w:trPr>
        <w:tc>
          <w:tcPr>
            <w:tcW w:w="7231" w:type="dxa"/>
            <w:shd w:val="clear" w:color="auto" w:fill="F2F2F2"/>
          </w:tcPr>
          <w:p>
            <w:pPr>
              <w:pStyle w:val="TableParagraph"/>
              <w:spacing w:line="211" w:lineRule="exact" w:before="8"/>
              <w:ind w:left="844" w:right="84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982" w:type="dxa"/>
            <w:shd w:val="clear" w:color="auto" w:fill="F2F2F2"/>
          </w:tcPr>
          <w:p>
            <w:pPr>
              <w:pStyle w:val="TableParagraph"/>
              <w:spacing w:line="211" w:lineRule="exact" w:before="8"/>
              <w:ind w:left="610" w:right="606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>
        <w:trPr>
          <w:trHeight w:val="806" w:hRule="atLeast"/>
        </w:trPr>
        <w:tc>
          <w:tcPr>
            <w:tcW w:w="7231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847" w:right="840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CONTAINER.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610" w:right="60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9" w:lineRule="auto"/>
        <w:ind w:left="121" w:right="602"/>
        <w:jc w:val="both"/>
      </w:pPr>
      <w:r>
        <w:rPr/>
        <w:t>Nota: O Regulamento de Compras, Alienações e Contratações De Obras e Serviços do Instituto de</w:t>
      </w:r>
      <w:r>
        <w:rPr>
          <w:spacing w:val="-47"/>
        </w:rPr>
        <w:t> </w:t>
      </w:r>
      <w:r>
        <w:rPr/>
        <w:t>Gestão e Humanização na Execução De Contratos de Gestão no Estado De Goiás, disponível para</w:t>
      </w:r>
      <w:r>
        <w:rPr>
          <w:spacing w:val="1"/>
        </w:rPr>
        <w:t> </w:t>
      </w:r>
      <w:r>
        <w:rPr/>
        <w:t>consulta no</w:t>
      </w:r>
      <w:r>
        <w:rPr>
          <w:spacing w:val="1"/>
        </w:rPr>
        <w:t> </w:t>
      </w:r>
      <w:r>
        <w:rPr/>
        <w:t>site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56"/>
        <w:ind w:left="121"/>
      </w:pPr>
      <w:r>
        <w:rPr/>
        <w:t>Goiânia/GO,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de setembro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2021.</w:t>
      </w:r>
    </w:p>
    <w:sectPr>
      <w:type w:val="continuous"/>
      <w:pgSz w:w="11900" w:h="16840"/>
      <w:pgMar w:top="1380" w:bottom="280" w:left="1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1" w:right="602"/>
      <w:jc w:val="center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3479" w:right="396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(Microsoft Word - TOMADA DE PREÇO SERV_MALA DIRETA)</dc:title>
  <dcterms:created xsi:type="dcterms:W3CDTF">2023-05-25T18:14:03Z</dcterms:created>
  <dcterms:modified xsi:type="dcterms:W3CDTF">2023-05-25T18:14:03Z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</Properties>
</file>