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7247" w:y="4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24" w:x="7247" w:y="73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2022118TP21141HMNSL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551" w:x="7247" w:y="107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551" w:x="7247" w:y="1070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551" w:x="7247" w:y="1070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551" w:x="7247" w:y="1070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404" w:x="7247" w:y="239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02/09/2022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83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83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236147227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83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Nº21141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AGO/2022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83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88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88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0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5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023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30" w:x="115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Metrolab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Soluções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Engenharia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30" w:x="1156" w:y="8423"/>
        <w:widowControl w:val="off"/>
        <w:autoSpaceDE w:val="off"/>
        <w:autoSpaceDN w:val="off"/>
        <w:spacing w:before="0" w:after="0" w:line="165" w:lineRule="exact"/>
        <w:ind w:left="7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Clínica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906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4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4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4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5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8" w:x="119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DAVID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QUEIROZ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62994437971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8" w:x="1197" w:y="8918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vendas1@metrolabs.com.br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8" w:x="1197" w:y="8918"/>
        <w:widowControl w:val="off"/>
        <w:autoSpaceDE w:val="off"/>
        <w:autoSpaceDN w:val="off"/>
        <w:spacing w:before="0" w:after="0" w:line="165" w:lineRule="exact"/>
        <w:ind w:left="53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f_mais_info(575123)"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f_mais_info(575123)"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f_mais_info(575123)"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43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43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574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574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7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4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54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7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86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63" w:x="396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3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4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79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22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4049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166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166" w:y="1043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166" w:y="1043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6" w:x="990" w:y="10599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6" w:x="990" w:y="10599"/>
        <w:widowControl w:val="off"/>
        <w:autoSpaceDE w:val="off"/>
        <w:autoSpaceDN w:val="off"/>
        <w:spacing w:before="0" w:after="0" w:line="165" w:lineRule="exact"/>
        <w:ind w:left="3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6" w:x="990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MULTIPARAMETRICO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4027" w:y="10599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4027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3x075mm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4027" w:y="10599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4027" w:y="1059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GREEN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4027" w:y="10599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GREEN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76" w:y="10599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76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76" w:y="10599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Engenharia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76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Clínica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76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1076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436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38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62791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4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4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480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4802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27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27" w:y="108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3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549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60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3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1234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0,75MM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1109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958" w:y="11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958" w:y="11710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958" w:y="11710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958" w:y="11710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BISTURI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3958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7417" w:y="11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7417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JBL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ABSOLUTA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7417" w:y="11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7417" w:y="11710"/>
        <w:widowControl w:val="off"/>
        <w:autoSpaceDE w:val="off"/>
        <w:autoSpaceDN w:val="off"/>
        <w:spacing w:before="0" w:after="0" w:line="165" w:lineRule="exact"/>
        <w:ind w:left="4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7417" w:y="11710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1" w:x="7417" w:y="11710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166" w:y="11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166" w:y="1171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166" w:y="1171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1069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1069" w:y="11875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1069" w:y="11875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BISTURI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1069" w:y="11875"/>
        <w:widowControl w:val="off"/>
        <w:autoSpaceDE w:val="off"/>
        <w:autoSpaceDN w:val="off"/>
        <w:spacing w:before="0" w:after="0" w:line="165" w:lineRule="exact"/>
        <w:ind w:left="2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76" w:y="11875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76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76" w:y="11875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Engenharia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76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Clínica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76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643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115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38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37897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87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569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76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3.570,0000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123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90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0" w:x="4285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3944" w:y="12985"/>
        <w:widowControl w:val="off"/>
        <w:autoSpaceDE w:val="off"/>
        <w:autoSpaceDN w:val="off"/>
        <w:spacing w:before="0" w:after="0" w:line="169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3944" w:y="12985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TEFLON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3944" w:y="12985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3944" w:y="12985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SELADORA</w:t>
      </w:r>
      <w:r>
        <w:rPr>
          <w:rFonts w:ascii="Tahoma"/>
          <w:color w:val="333333"/>
          <w:spacing w:val="8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3944" w:y="12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50mm/40cm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3944" w:y="12985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TACONNI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3944" w:y="12985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TACONNI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166" w:y="13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166" w:y="1306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166" w:y="1306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76" w:y="13226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76" w:y="13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76" w:y="13226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Engenharia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676" w:y="13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Clínica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9" w:x="1041" w:y="13316"/>
        <w:widowControl w:val="off"/>
        <w:autoSpaceDE w:val="off"/>
        <w:autoSpaceDN w:val="off"/>
        <w:spacing w:before="0" w:after="0" w:line="169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TEFLON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9" w:x="1041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SELAMULT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12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36976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9" w:x="1041" w:y="13316"/>
        <w:widowControl w:val="off"/>
        <w:autoSpaceDE w:val="off"/>
        <w:autoSpaceDN w:val="off"/>
        <w:spacing w:before="0" w:after="0" w:line="165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SELADORA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76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74" w:y="1339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474" w:y="13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4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27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32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87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8607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38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44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20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397" w:y="13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46" w:y="1442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46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643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63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63" w:y="1450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840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840" w:y="1450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76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4.166,0000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609" w:y="15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593" w:y="15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899" w:y="1549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899" w:y="15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643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376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4.166,0000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"javascript:chama_completo(236147227)"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"javascript:chama_completo(236147227)"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190.75pt;z-index:-3;width:843pt;height:1135.9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470</Words>
  <Characters>2492</Characters>
  <Application>Aspose</Application>
  <DocSecurity>0</DocSecurity>
  <Lines>174</Lines>
  <Paragraphs>174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2023-06-03T12:43:22+00:00</dcterms:created>
  <dcterms:modified xmlns:xsi="http://www.w3.org/2001/XMLSchema-instance" xmlns:dcterms="http://purl.org/dc/terms/" xsi:type="dcterms:W3CDTF">2023-06-03T12:43:22+00:00</dcterms:modified>
</coreProperties>
</file>