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074" w:right="112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2023155TP4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IGH-GO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Escritório</w:t>
      </w:r>
      <w:r>
        <w:rPr>
          <w:spacing w:val="9"/>
        </w:rPr>
        <w:t> </w:t>
      </w:r>
      <w:r>
        <w:rPr/>
        <w:t>Regional</w:t>
      </w:r>
      <w:r>
        <w:rPr>
          <w:spacing w:val="8"/>
        </w:rPr>
        <w:t> </w:t>
      </w:r>
      <w:r>
        <w:rPr/>
        <w:t>Goiás</w:t>
      </w:r>
    </w:p>
    <w:p>
      <w:pPr>
        <w:pStyle w:val="BodyText"/>
        <w:spacing w:before="24"/>
        <w:ind w:left="1149" w:right="1120"/>
        <w:jc w:val="center"/>
      </w:pPr>
      <w:r>
        <w:rPr/>
        <w:t>Av.</w:t>
      </w:r>
      <w:r>
        <w:rPr>
          <w:spacing w:val="8"/>
        </w:rPr>
        <w:t> </w:t>
      </w:r>
      <w:r>
        <w:rPr/>
        <w:t>Perimetral,</w:t>
      </w:r>
      <w:r>
        <w:rPr>
          <w:spacing w:val="9"/>
        </w:rPr>
        <w:t> </w:t>
      </w:r>
      <w:r>
        <w:rPr/>
        <w:t>Qd.</w:t>
      </w:r>
      <w:r>
        <w:rPr>
          <w:spacing w:val="8"/>
        </w:rPr>
        <w:t> </w:t>
      </w:r>
      <w:r>
        <w:rPr/>
        <w:t>37,</w:t>
      </w:r>
      <w:r>
        <w:rPr>
          <w:spacing w:val="8"/>
        </w:rPr>
        <w:t> </w:t>
      </w:r>
      <w:r>
        <w:rPr/>
        <w:t>Lt.</w:t>
      </w:r>
      <w:r>
        <w:rPr>
          <w:spacing w:val="8"/>
        </w:rPr>
        <w:t> </w:t>
      </w:r>
      <w:r>
        <w:rPr/>
        <w:t>64,</w:t>
      </w:r>
      <w:r>
        <w:rPr>
          <w:spacing w:val="7"/>
        </w:rPr>
        <w:t> </w:t>
      </w:r>
      <w:r>
        <w:rPr/>
        <w:t>Nº</w:t>
      </w:r>
      <w:r>
        <w:rPr>
          <w:spacing w:val="9"/>
        </w:rPr>
        <w:t> </w:t>
      </w:r>
      <w:r>
        <w:rPr/>
        <w:t>1650,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Coimbra,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74.530-026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31" w:val="left" w:leader="none"/>
        </w:tabs>
        <w:spacing w:before="149"/>
        <w:ind w:left="0" w:right="1118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15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22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13" w:right="1120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49" w:right="1120"/>
        <w:jc w:val="center"/>
      </w:pPr>
      <w:r>
        <w:rPr/>
        <w:t>Av.</w:t>
      </w:r>
      <w:r>
        <w:rPr>
          <w:spacing w:val="8"/>
        </w:rPr>
        <w:t> </w:t>
      </w:r>
      <w:r>
        <w:rPr/>
        <w:t>Perimetral,</w:t>
      </w:r>
      <w:r>
        <w:rPr>
          <w:spacing w:val="9"/>
        </w:rPr>
        <w:t> </w:t>
      </w:r>
      <w:r>
        <w:rPr/>
        <w:t>Qd.</w:t>
      </w:r>
      <w:r>
        <w:rPr>
          <w:spacing w:val="8"/>
        </w:rPr>
        <w:t> </w:t>
      </w:r>
      <w:r>
        <w:rPr/>
        <w:t>37,</w:t>
      </w:r>
      <w:r>
        <w:rPr>
          <w:spacing w:val="8"/>
        </w:rPr>
        <w:t> </w:t>
      </w:r>
      <w:r>
        <w:rPr/>
        <w:t>Lt.</w:t>
      </w:r>
      <w:r>
        <w:rPr>
          <w:spacing w:val="8"/>
        </w:rPr>
        <w:t> </w:t>
      </w:r>
      <w:r>
        <w:rPr/>
        <w:t>64,</w:t>
      </w:r>
      <w:r>
        <w:rPr>
          <w:spacing w:val="7"/>
        </w:rPr>
        <w:t> </w:t>
      </w:r>
      <w:r>
        <w:rPr/>
        <w:t>Nº</w:t>
      </w:r>
      <w:r>
        <w:rPr>
          <w:spacing w:val="9"/>
        </w:rPr>
        <w:t> </w:t>
      </w:r>
      <w:r>
        <w:rPr/>
        <w:t>1650,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Coimbra,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74.530-026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13" w:right="1120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787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27"/>
              <w:ind w:left="2548" w:hanging="210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DEDETIZAÇÃO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DESINFECÇÃO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DEPENDÊNCIAS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UNIDADE.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18" w:right="112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30" w:right="112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TOMADA DE PREÇO 2023155TP4</dc:title>
  <dcterms:created xsi:type="dcterms:W3CDTF">2023-05-15T19:47:11Z</dcterms:created>
  <dcterms:modified xsi:type="dcterms:W3CDTF">2023-05-15T19:47:11Z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2023-05-15T00:00:00Z</vt:filetime>
  </property>
</Properties>
</file>