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pStyle w:val="BodyText"/>
        <w:spacing w:before="50"/>
        <w:ind w:left="1836" w:right="1839"/>
        <w:jc w:val="center"/>
      </w:pPr>
      <w:r>
        <w:rPr/>
        <w:t>20232310TP51098HEMNSL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59" w:lineRule="auto" w:before="55"/>
        <w:ind w:left="187" w:right="204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 como Organização Social, vem tornar público o resultado de processo, com a finalidade</w:t>
      </w:r>
      <w:r>
        <w:rPr>
          <w:spacing w:val="-49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 serviços para a(s)</w:t>
      </w:r>
      <w:r>
        <w:rPr>
          <w:spacing w:val="-3"/>
        </w:rPr>
        <w:t> </w:t>
      </w:r>
      <w:r>
        <w:rPr/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1836" w:right="1839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Lourdes</w:t>
      </w:r>
    </w:p>
    <w:p>
      <w:pPr>
        <w:spacing w:before="24"/>
        <w:ind w:left="1836" w:right="1839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9"/>
          <w:sz w:val="21"/>
        </w:rPr>
        <w:t> </w:t>
      </w:r>
      <w:r>
        <w:rPr>
          <w:sz w:val="21"/>
        </w:rPr>
        <w:t>230,</w:t>
      </w:r>
      <w:r>
        <w:rPr>
          <w:spacing w:val="6"/>
          <w:sz w:val="21"/>
        </w:rPr>
        <w:t> </w:t>
      </w:r>
      <w:r>
        <w:rPr>
          <w:sz w:val="21"/>
        </w:rPr>
        <w:t>Qd.</w:t>
      </w:r>
      <w:r>
        <w:rPr>
          <w:spacing w:val="7"/>
          <w:sz w:val="21"/>
        </w:rPr>
        <w:t> </w:t>
      </w:r>
      <w:r>
        <w:rPr>
          <w:sz w:val="21"/>
        </w:rPr>
        <w:t>709,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6"/>
          <w:sz w:val="21"/>
        </w:rPr>
        <w:t> </w:t>
      </w:r>
      <w:r>
        <w:rPr>
          <w:sz w:val="21"/>
        </w:rPr>
        <w:t>Setor</w:t>
      </w:r>
      <w:r>
        <w:rPr>
          <w:spacing w:val="7"/>
          <w:sz w:val="21"/>
        </w:rPr>
        <w:t> </w:t>
      </w:r>
      <w:r>
        <w:rPr>
          <w:sz w:val="21"/>
        </w:rPr>
        <w:t>Nova</w:t>
      </w:r>
      <w:r>
        <w:rPr>
          <w:spacing w:val="8"/>
          <w:sz w:val="21"/>
        </w:rPr>
        <w:t> </w:t>
      </w:r>
      <w:r>
        <w:rPr>
          <w:sz w:val="21"/>
        </w:rPr>
        <w:t>Vila,</w:t>
      </w:r>
      <w:r>
        <w:rPr>
          <w:spacing w:val="7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78" w:right="3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right="108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left="116" w:right="87"/>
              <w:jc w:val="center"/>
              <w:rPr>
                <w:sz w:val="19"/>
              </w:rPr>
            </w:pPr>
            <w:r>
              <w:rPr>
                <w:sz w:val="19"/>
              </w:rPr>
              <w:t>ATRIUM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TREINAMENTOS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116" w:right="74"/>
              <w:jc w:val="center"/>
              <w:rPr>
                <w:sz w:val="21"/>
              </w:rPr>
            </w:pPr>
            <w:r>
              <w:rPr>
                <w:sz w:val="21"/>
              </w:rPr>
              <w:t>13.714.540/0001-89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78" w:right="3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AMBULÂNCIA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41" w:right="33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971" w:val="left" w:leader="none"/>
              </w:tabs>
              <w:ind w:right="53"/>
              <w:jc w:val="right"/>
              <w:rPr>
                <w:sz w:val="19"/>
              </w:rPr>
            </w:pPr>
            <w:r>
              <w:rPr>
                <w:sz w:val="19"/>
              </w:rPr>
              <w:t>R$</w:t>
              <w:tab/>
              <w:t>8.700,00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5830" w:val="left" w:leader="none"/>
        </w:tabs>
        <w:spacing w:before="60"/>
        <w:ind w:left="432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30</w:t>
      </w:r>
      <w:r>
        <w:rPr>
          <w:spacing w:val="7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8"/>
          <w:position w:val="1"/>
          <w:sz w:val="21"/>
        </w:rPr>
        <w:t> </w:t>
      </w:r>
      <w:r>
        <w:rPr>
          <w:position w:val="1"/>
          <w:sz w:val="21"/>
        </w:rPr>
        <w:t>outubro</w:t>
      </w:r>
      <w:r>
        <w:rPr>
          <w:spacing w:val="6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8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836" w:right="1837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2023-10-30T18:33:11Z</dcterms:created>
  <dcterms:modified xsi:type="dcterms:W3CDTF">2023-10-30T18:33:11Z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2023-10-30T00:00:00Z</vt:filetime>
  </property>
</Properties>
</file>