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</w:pPr>
      <w:r>
        <w:rPr/>
        <w:t>TOMADA</w:t>
      </w:r>
      <w:r>
        <w:rPr>
          <w:spacing w:val="-2"/>
        </w:rPr>
        <w:t> </w:t>
      </w:r>
      <w:r>
        <w:rPr/>
        <w:t>DE</w:t>
      </w:r>
      <w:r>
        <w:rPr>
          <w:spacing w:val="1"/>
        </w:rPr>
        <w:t> </w:t>
      </w:r>
      <w:r>
        <w:rPr/>
        <w:t>PREÇO</w:t>
      </w:r>
    </w:p>
    <w:p>
      <w:pPr>
        <w:spacing w:before="182"/>
        <w:ind w:left="3218" w:right="3550" w:firstLine="0"/>
        <w:jc w:val="center"/>
        <w:rPr>
          <w:sz w:val="22"/>
        </w:rPr>
      </w:pPr>
      <w:r>
        <w:rPr>
          <w:sz w:val="24"/>
        </w:rPr>
        <w:t>N°</w:t>
      </w:r>
      <w:r>
        <w:rPr>
          <w:spacing w:val="-5"/>
          <w:sz w:val="24"/>
        </w:rPr>
        <w:t> </w:t>
      </w:r>
      <w:r>
        <w:rPr>
          <w:sz w:val="22"/>
        </w:rPr>
        <w:t>202413TP56700HEMNSL</w:t>
      </w:r>
    </w:p>
    <w:p>
      <w:pPr>
        <w:pStyle w:val="BodyText"/>
        <w:spacing w:line="259" w:lineRule="auto" w:before="185"/>
        <w:ind w:left="121" w:right="448"/>
        <w:jc w:val="both"/>
      </w:pPr>
      <w:r>
        <w:rPr/>
        <w:t>O</w:t>
      </w:r>
      <w:r>
        <w:rPr>
          <w:spacing w:val="1"/>
        </w:rPr>
        <w:t> </w:t>
      </w:r>
      <w:r>
        <w:rPr/>
        <w:t>Instituto de</w:t>
      </w:r>
      <w:r>
        <w:rPr>
          <w:spacing w:val="1"/>
        </w:rPr>
        <w:t> </w:t>
      </w:r>
      <w:r>
        <w:rPr/>
        <w:t>Gestão e</w:t>
      </w:r>
      <w:r>
        <w:rPr>
          <w:spacing w:val="1"/>
        </w:rPr>
        <w:t> </w:t>
      </w:r>
      <w:r>
        <w:rPr/>
        <w:t>Humanização –</w:t>
      </w:r>
      <w:r>
        <w:rPr>
          <w:spacing w:val="1"/>
        </w:rPr>
        <w:t> </w:t>
      </w:r>
      <w:r>
        <w:rPr/>
        <w:t>IGH, entidade</w:t>
      </w:r>
      <w:r>
        <w:rPr>
          <w:spacing w:val="1"/>
        </w:rPr>
        <w:t> </w:t>
      </w:r>
      <w:r>
        <w:rPr/>
        <w:t>de direito</w:t>
      </w:r>
      <w:r>
        <w:rPr>
          <w:spacing w:val="1"/>
        </w:rPr>
        <w:t> </w:t>
      </w:r>
      <w:r>
        <w:rPr/>
        <w:t>privado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sem fins</w:t>
      </w:r>
      <w:r>
        <w:rPr>
          <w:spacing w:val="1"/>
        </w:rPr>
        <w:t> </w:t>
      </w:r>
      <w:r>
        <w:rPr/>
        <w:t>lucrativos,</w:t>
      </w:r>
      <w:r>
        <w:rPr>
          <w:spacing w:val="-10"/>
        </w:rPr>
        <w:t> </w:t>
      </w:r>
      <w:r>
        <w:rPr/>
        <w:t>classificado</w:t>
      </w:r>
      <w:r>
        <w:rPr>
          <w:spacing w:val="-9"/>
        </w:rPr>
        <w:t> </w:t>
      </w:r>
      <w:r>
        <w:rPr/>
        <w:t>como</w:t>
      </w:r>
      <w:r>
        <w:rPr>
          <w:spacing w:val="-9"/>
        </w:rPr>
        <w:t> </w:t>
      </w:r>
      <w:r>
        <w:rPr/>
        <w:t>Organização</w:t>
      </w:r>
      <w:r>
        <w:rPr>
          <w:spacing w:val="-13"/>
        </w:rPr>
        <w:t> </w:t>
      </w:r>
      <w:r>
        <w:rPr/>
        <w:t>Social,</w:t>
      </w:r>
      <w:r>
        <w:rPr>
          <w:spacing w:val="-9"/>
        </w:rPr>
        <w:t> </w:t>
      </w:r>
      <w:r>
        <w:rPr/>
        <w:t>vem</w:t>
      </w:r>
      <w:r>
        <w:rPr>
          <w:spacing w:val="-9"/>
        </w:rPr>
        <w:t> </w:t>
      </w:r>
      <w:r>
        <w:rPr/>
        <w:t>tornar</w:t>
      </w:r>
      <w:r>
        <w:rPr>
          <w:spacing w:val="-9"/>
        </w:rPr>
        <w:t> </w:t>
      </w:r>
      <w:r>
        <w:rPr/>
        <w:t>público</w:t>
      </w:r>
      <w:r>
        <w:rPr>
          <w:spacing w:val="-13"/>
        </w:rPr>
        <w:t> </w:t>
      </w:r>
      <w:r>
        <w:rPr/>
        <w:t>da</w:t>
      </w:r>
      <w:r>
        <w:rPr>
          <w:spacing w:val="-7"/>
        </w:rPr>
        <w:t> </w:t>
      </w:r>
      <w:r>
        <w:rPr/>
        <w:t>Tomada</w:t>
      </w:r>
      <w:r>
        <w:rPr>
          <w:spacing w:val="-7"/>
        </w:rPr>
        <w:t> </w:t>
      </w:r>
      <w:r>
        <w:rPr/>
        <w:t>de</w:t>
      </w:r>
      <w:r>
        <w:rPr>
          <w:spacing w:val="-12"/>
        </w:rPr>
        <w:t> </w:t>
      </w:r>
      <w:r>
        <w:rPr/>
        <w:t>Preços,</w:t>
      </w:r>
      <w:r>
        <w:rPr>
          <w:spacing w:val="-52"/>
        </w:rPr>
        <w:t> </w:t>
      </w:r>
      <w:r>
        <w:rPr/>
        <w:t>com a finalidade de adquirir bens, insumos e serviços para o HEMNSL - Hospital Est.</w:t>
      </w:r>
      <w:r>
        <w:rPr>
          <w:spacing w:val="1"/>
        </w:rPr>
        <w:t> </w:t>
      </w:r>
      <w:r>
        <w:rPr/>
        <w:t>Maternidade Nossa Senhora de Lourdes, com endereço à Rua 230, Qd. 709, S/N, Setor</w:t>
      </w:r>
      <w:r>
        <w:rPr>
          <w:spacing w:val="1"/>
        </w:rPr>
        <w:t> </w:t>
      </w:r>
      <w:r>
        <w:rPr/>
        <w:t>Nova</w:t>
      </w:r>
      <w:r>
        <w:rPr>
          <w:spacing w:val="-1"/>
        </w:rPr>
        <w:t> </w:t>
      </w:r>
      <w:r>
        <w:rPr/>
        <w:t>Vila, Goiânia/GO, CEP:</w:t>
      </w:r>
      <w:r>
        <w:rPr>
          <w:spacing w:val="2"/>
        </w:rPr>
        <w:t> </w:t>
      </w:r>
      <w:r>
        <w:rPr/>
        <w:t>74.640-210.</w:t>
      </w:r>
    </w:p>
    <w:p>
      <w:pPr>
        <w:spacing w:before="157"/>
        <w:ind w:left="3444" w:right="3773" w:firstLine="0"/>
        <w:jc w:val="center"/>
        <w:rPr>
          <w:sz w:val="22"/>
        </w:rPr>
      </w:pPr>
      <w:r>
        <w:rPr>
          <w:sz w:val="22"/>
          <w:u w:val="single"/>
        </w:rPr>
        <w:t>PERÍODO</w:t>
      </w:r>
      <w:r>
        <w:rPr>
          <w:spacing w:val="-2"/>
          <w:sz w:val="22"/>
          <w:u w:val="single"/>
        </w:rPr>
        <w:t> </w:t>
      </w:r>
      <w:r>
        <w:rPr>
          <w:sz w:val="22"/>
          <w:u w:val="single"/>
        </w:rPr>
        <w:t>DE</w:t>
      </w:r>
      <w:r>
        <w:rPr>
          <w:spacing w:val="1"/>
          <w:sz w:val="22"/>
          <w:u w:val="single"/>
        </w:rPr>
        <w:t> </w:t>
      </w:r>
      <w:r>
        <w:rPr>
          <w:sz w:val="22"/>
          <w:u w:val="single"/>
        </w:rPr>
        <w:t>COTAÇÃO</w:t>
      </w:r>
    </w:p>
    <w:p>
      <w:pPr>
        <w:pStyle w:val="BodyText"/>
        <w:spacing w:before="2"/>
        <w:rPr>
          <w:sz w:val="10"/>
        </w:rPr>
      </w:pPr>
    </w:p>
    <w:p>
      <w:pPr>
        <w:spacing w:before="57"/>
        <w:ind w:left="121" w:right="0" w:firstLine="0"/>
        <w:jc w:val="left"/>
        <w:rPr>
          <w:b/>
          <w:sz w:val="22"/>
        </w:rPr>
      </w:pPr>
      <w:r>
        <w:rPr>
          <w:sz w:val="22"/>
        </w:rPr>
        <w:t>Data</w:t>
      </w:r>
      <w:r>
        <w:rPr>
          <w:spacing w:val="-1"/>
          <w:sz w:val="22"/>
        </w:rPr>
        <w:t> </w:t>
      </w:r>
      <w:r>
        <w:rPr>
          <w:sz w:val="22"/>
        </w:rPr>
        <w:t>de</w:t>
      </w:r>
      <w:r>
        <w:rPr>
          <w:spacing w:val="-1"/>
          <w:sz w:val="22"/>
        </w:rPr>
        <w:t> </w:t>
      </w:r>
      <w:r>
        <w:rPr>
          <w:sz w:val="22"/>
        </w:rPr>
        <w:t>início</w:t>
      </w:r>
      <w:r>
        <w:rPr>
          <w:spacing w:val="-2"/>
          <w:sz w:val="22"/>
        </w:rPr>
        <w:t> </w:t>
      </w:r>
      <w:r>
        <w:rPr>
          <w:sz w:val="22"/>
        </w:rPr>
        <w:t>de</w:t>
      </w:r>
      <w:r>
        <w:rPr>
          <w:spacing w:val="-1"/>
          <w:sz w:val="22"/>
        </w:rPr>
        <w:t> </w:t>
      </w:r>
      <w:r>
        <w:rPr>
          <w:sz w:val="22"/>
        </w:rPr>
        <w:t>recebimento das</w:t>
      </w:r>
      <w:r>
        <w:rPr>
          <w:spacing w:val="-1"/>
          <w:sz w:val="22"/>
        </w:rPr>
        <w:t> </w:t>
      </w:r>
      <w:r>
        <w:rPr>
          <w:sz w:val="22"/>
        </w:rPr>
        <w:t>propostas:</w:t>
      </w:r>
      <w:r>
        <w:rPr>
          <w:spacing w:val="2"/>
          <w:sz w:val="22"/>
        </w:rPr>
        <w:t> </w:t>
      </w:r>
      <w:r>
        <w:rPr>
          <w:b/>
          <w:sz w:val="22"/>
        </w:rPr>
        <w:t>01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de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março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de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2024</w:t>
      </w:r>
    </w:p>
    <w:p>
      <w:pPr>
        <w:spacing w:before="182"/>
        <w:ind w:left="121" w:right="0" w:firstLine="0"/>
        <w:jc w:val="left"/>
        <w:rPr>
          <w:b/>
          <w:sz w:val="22"/>
        </w:rPr>
      </w:pPr>
      <w:r>
        <w:rPr>
          <w:sz w:val="22"/>
        </w:rPr>
        <w:t>Data</w:t>
      </w:r>
      <w:r>
        <w:rPr>
          <w:spacing w:val="-1"/>
          <w:sz w:val="22"/>
        </w:rPr>
        <w:t> </w:t>
      </w:r>
      <w:r>
        <w:rPr>
          <w:sz w:val="22"/>
        </w:rPr>
        <w:t>final</w:t>
      </w:r>
      <w:r>
        <w:rPr>
          <w:spacing w:val="-1"/>
          <w:sz w:val="22"/>
        </w:rPr>
        <w:t> </w:t>
      </w:r>
      <w:r>
        <w:rPr>
          <w:sz w:val="22"/>
        </w:rPr>
        <w:t>de</w:t>
      </w:r>
      <w:r>
        <w:rPr>
          <w:spacing w:val="-1"/>
          <w:sz w:val="22"/>
        </w:rPr>
        <w:t> </w:t>
      </w:r>
      <w:r>
        <w:rPr>
          <w:sz w:val="22"/>
        </w:rPr>
        <w:t>recebimento</w:t>
      </w:r>
      <w:r>
        <w:rPr>
          <w:spacing w:val="-2"/>
          <w:sz w:val="22"/>
        </w:rPr>
        <w:t> </w:t>
      </w:r>
      <w:r>
        <w:rPr>
          <w:sz w:val="22"/>
        </w:rPr>
        <w:t>das propostas: </w:t>
      </w:r>
      <w:r>
        <w:rPr>
          <w:b/>
          <w:sz w:val="22"/>
        </w:rPr>
        <w:t>07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de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março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de 2024</w:t>
      </w:r>
    </w:p>
    <w:p>
      <w:pPr>
        <w:pStyle w:val="BodyText"/>
        <w:rPr>
          <w:b/>
          <w:sz w:val="22"/>
        </w:rPr>
      </w:pPr>
    </w:p>
    <w:p>
      <w:pPr>
        <w:pStyle w:val="BodyText"/>
        <w:spacing w:before="9"/>
        <w:rPr>
          <w:b/>
          <w:sz w:val="29"/>
        </w:rPr>
      </w:pPr>
    </w:p>
    <w:p>
      <w:pPr>
        <w:pStyle w:val="BodyText"/>
        <w:spacing w:line="259" w:lineRule="auto"/>
        <w:ind w:left="121" w:right="517"/>
      </w:pPr>
      <w:r>
        <w:rPr/>
        <w:t>O detalhamento do objeto, com suas especificações, quantidades, volumes e outros,</w:t>
      </w:r>
      <w:r>
        <w:rPr>
          <w:spacing w:val="1"/>
        </w:rPr>
        <w:t> </w:t>
      </w:r>
      <w:r>
        <w:rPr/>
        <w:t>poderão ser encontrados na plataforma eletrônica </w:t>
      </w:r>
      <w:hyperlink r:id="rId5">
        <w:r>
          <w:rPr/>
          <w:t>www.bionexo.com.br. </w:t>
        </w:r>
      </w:hyperlink>
      <w:r>
        <w:rPr/>
        <w:t>Não possuindo</w:t>
      </w:r>
      <w:r>
        <w:rPr>
          <w:spacing w:val="-52"/>
        </w:rPr>
        <w:t> </w:t>
      </w:r>
      <w:r>
        <w:rPr/>
        <w:t>cadastro ativo no portal supracitado, o detalhamento do objeto deverá ser solicitado no</w:t>
      </w:r>
      <w:r>
        <w:rPr>
          <w:spacing w:val="1"/>
        </w:rPr>
        <w:t> </w:t>
      </w:r>
      <w:r>
        <w:rPr/>
        <w:t>endereço de e-mail: </w:t>
      </w:r>
      <w:hyperlink r:id="rId6">
        <w:r>
          <w:rPr/>
          <w:t>compras.go@igh.org.br. </w:t>
        </w:r>
      </w:hyperlink>
      <w:r>
        <w:rPr/>
        <w:t>Não serão aceitas cotações por e-mail,</w:t>
      </w:r>
      <w:r>
        <w:rPr>
          <w:spacing w:val="1"/>
        </w:rPr>
        <w:t> </w:t>
      </w:r>
      <w:r>
        <w:rPr/>
        <w:t>apenas</w:t>
      </w:r>
      <w:r>
        <w:rPr>
          <w:spacing w:val="-3"/>
        </w:rPr>
        <w:t> </w:t>
      </w:r>
      <w:r>
        <w:rPr/>
        <w:t>na</w:t>
      </w:r>
      <w:r>
        <w:rPr>
          <w:spacing w:val="-4"/>
        </w:rPr>
        <w:t> </w:t>
      </w:r>
      <w:r>
        <w:rPr/>
        <w:t>plataforma</w:t>
      </w:r>
      <w:r>
        <w:rPr>
          <w:spacing w:val="2"/>
        </w:rPr>
        <w:t> </w:t>
      </w:r>
      <w:r>
        <w:rPr/>
        <w:t>BIONEXO.</w:t>
      </w:r>
    </w:p>
    <w:p>
      <w:pPr>
        <w:pStyle w:val="BodyText"/>
        <w:spacing w:line="259" w:lineRule="auto" w:before="158"/>
        <w:ind w:left="121" w:right="488"/>
      </w:pPr>
      <w:r>
        <w:rPr/>
        <w:t>Em tempo, informamos que se encontra disponível fisicamente o detalhamento do edital</w:t>
      </w:r>
      <w:r>
        <w:rPr>
          <w:spacing w:val="-52"/>
        </w:rPr>
        <w:t> </w:t>
      </w:r>
      <w:r>
        <w:rPr/>
        <w:t>no seguinte endereço: Av. Perimetral Qd. 37 Lt. 64, Setor Coimbra, Goiânia/GO, CEP:</w:t>
      </w:r>
      <w:r>
        <w:rPr>
          <w:spacing w:val="1"/>
        </w:rPr>
        <w:t> </w:t>
      </w:r>
      <w:r>
        <w:rPr/>
        <w:t>74.530-026.</w:t>
      </w:r>
      <w:r>
        <w:rPr>
          <w:spacing w:val="-1"/>
        </w:rPr>
        <w:t> </w:t>
      </w:r>
      <w:r>
        <w:rPr/>
        <w:t>O resultado</w:t>
      </w:r>
      <w:r>
        <w:rPr>
          <w:spacing w:val="1"/>
        </w:rPr>
        <w:t> </w:t>
      </w:r>
      <w:r>
        <w:rPr/>
        <w:t>será</w:t>
      </w:r>
      <w:r>
        <w:rPr>
          <w:spacing w:val="2"/>
        </w:rPr>
        <w:t> </w:t>
      </w:r>
      <w:r>
        <w:rPr/>
        <w:t>publicado</w:t>
      </w:r>
      <w:r>
        <w:rPr>
          <w:spacing w:val="-2"/>
        </w:rPr>
        <w:t> </w:t>
      </w:r>
      <w:r>
        <w:rPr/>
        <w:t>no</w:t>
      </w:r>
      <w:r>
        <w:rPr>
          <w:spacing w:val="3"/>
        </w:rPr>
        <w:t> </w:t>
      </w:r>
      <w:r>
        <w:rPr/>
        <w:t>site</w:t>
      </w:r>
      <w:r>
        <w:rPr>
          <w:spacing w:val="-3"/>
        </w:rPr>
        <w:t> </w:t>
      </w:r>
      <w:r>
        <w:rPr/>
        <w:t>oficial</w:t>
      </w:r>
      <w:r>
        <w:rPr>
          <w:spacing w:val="3"/>
        </w:rPr>
        <w:t> </w:t>
      </w:r>
      <w:r>
        <w:rPr/>
        <w:t>do IGH</w:t>
      </w:r>
      <w:r>
        <w:rPr>
          <w:spacing w:val="1"/>
        </w:rPr>
        <w:t> </w:t>
      </w:r>
      <w:r>
        <w:rPr/>
        <w:t>(https://</w:t>
      </w:r>
      <w:hyperlink r:id="rId7">
        <w:r>
          <w:rPr/>
          <w:t>www.igh.org.br/transparencia),</w:t>
        </w:r>
        <w:r>
          <w:rPr>
            <w:spacing w:val="-2"/>
          </w:rPr>
          <w:t> </w:t>
        </w:r>
      </w:hyperlink>
      <w:r>
        <w:rPr/>
        <w:t>na pasta</w:t>
      </w:r>
      <w:r>
        <w:rPr>
          <w:spacing w:val="-4"/>
        </w:rPr>
        <w:t> </w:t>
      </w:r>
      <w:r>
        <w:rPr/>
        <w:t>especifica</w:t>
      </w:r>
      <w:r>
        <w:rPr>
          <w:spacing w:val="-4"/>
        </w:rPr>
        <w:t> </w:t>
      </w:r>
      <w:r>
        <w:rPr/>
        <w:t>da</w:t>
      </w:r>
      <w:r>
        <w:rPr>
          <w:spacing w:val="1"/>
        </w:rPr>
        <w:t> </w:t>
      </w:r>
      <w:r>
        <w:rPr/>
        <w:t>unidade.</w:t>
      </w:r>
    </w:p>
    <w:p>
      <w:pPr>
        <w:pStyle w:val="BodyText"/>
        <w:spacing w:before="2"/>
        <w:rPr>
          <w:sz w:val="10"/>
        </w:rPr>
      </w:pPr>
      <w:r>
        <w:rPr/>
        <w:pict>
          <v:group style="position:absolute;margin-left:84.839996pt;margin-top:8.174054pt;width:454.1pt;height:53.8pt;mso-position-horizontal-relative:page;mso-position-vertical-relative:paragraph;z-index:-15728640;mso-wrap-distance-left:0;mso-wrap-distance-right:0" coordorigin="1697,163" coordsize="9082,1076">
            <v:rect style="position:absolute;left:1706;top:173;width:9063;height:240" filled="true" fillcolor="#f2f2f2" stroked="false">
              <v:fill type="solid"/>
            </v:rect>
            <v:shape style="position:absolute;left:1696;top:163;width:9082;height:1076" coordorigin="1697,163" coordsize="9082,1076" path="m10778,163l10769,163,10769,173,10769,413,10769,423,10769,1229,1706,1229,1706,423,10769,423,10769,413,1706,413,1706,173,1697,173,1697,413,1697,423,1697,1229,1697,1239,1706,1239,10769,1239,10778,1239,10778,1229,10778,423,10778,413,10778,173,10778,163xe" filled="true" fillcolor="#000000" stroked="false">
              <v:path arrowok="t"/>
              <v:fill type="solid"/>
            </v:shape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left:5978;top:750;width:540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DIETAS</w:t>
                    </w:r>
                  </w:p>
                </w:txbxContent>
              </v:textbox>
              <w10:wrap type="none"/>
            </v:shape>
            <v:shape style="position:absolute;left:1701;top:168;width:9072;height:250" type="#_x0000_t202" filled="true" fillcolor="#f2f2f2" stroked="true" strokeweight=".480011pt" strokecolor="#000000">
              <v:textbox inset="0,0,0,0">
                <w:txbxContent>
                  <w:p>
                    <w:pPr>
                      <w:spacing w:before="8"/>
                      <w:ind w:left="4221" w:right="4220" w:firstLine="0"/>
                      <w:jc w:val="center"/>
                      <w:rPr>
                        <w:b/>
                        <w:sz w:val="18"/>
                      </w:rPr>
                    </w:pPr>
                    <w:r>
                      <w:rPr>
                        <w:b/>
                        <w:sz w:val="18"/>
                      </w:rPr>
                      <w:t>OBJETO</w:t>
                    </w:r>
                  </w:p>
                </w:txbxContent>
              </v:textbox>
              <v:fill type="solid"/>
              <v:stroke dashstyle="solid"/>
              <w10:wrap type="none"/>
            </v:shape>
            <w10:wrap type="topAndBottom"/>
          </v:group>
        </w:pict>
      </w:r>
    </w:p>
    <w:p>
      <w:pPr>
        <w:pStyle w:val="BodyText"/>
        <w:spacing w:before="6"/>
        <w:rPr>
          <w:sz w:val="29"/>
        </w:rPr>
      </w:pPr>
    </w:p>
    <w:p>
      <w:pPr>
        <w:spacing w:line="403" w:lineRule="auto" w:before="56"/>
        <w:ind w:left="121" w:right="8070" w:firstLine="0"/>
        <w:jc w:val="left"/>
        <w:rPr>
          <w:b/>
          <w:sz w:val="22"/>
        </w:rPr>
      </w:pPr>
      <w:r>
        <w:rPr>
          <w:b/>
          <w:sz w:val="22"/>
        </w:rPr>
        <w:t>PEDIDO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56700/2024</w:t>
      </w:r>
    </w:p>
    <w:p>
      <w:pPr>
        <w:spacing w:line="259" w:lineRule="auto" w:before="0"/>
        <w:ind w:left="121" w:right="448" w:firstLine="0"/>
        <w:jc w:val="both"/>
        <w:rPr>
          <w:sz w:val="22"/>
        </w:rPr>
      </w:pPr>
      <w:r>
        <w:rPr>
          <w:sz w:val="22"/>
        </w:rPr>
        <w:t>Nota: O Regulamento de Compras, Alienações e Contratações De Obras e Serviços do Instituto de</w:t>
      </w:r>
      <w:r>
        <w:rPr>
          <w:spacing w:val="-47"/>
          <w:sz w:val="22"/>
        </w:rPr>
        <w:t> </w:t>
      </w:r>
      <w:r>
        <w:rPr>
          <w:sz w:val="22"/>
        </w:rPr>
        <w:t>Gestão e Humanização na Execução De Contratos de Gestão no Estado De Goiás, disponível para</w:t>
      </w:r>
      <w:r>
        <w:rPr>
          <w:spacing w:val="1"/>
          <w:sz w:val="22"/>
        </w:rPr>
        <w:t> </w:t>
      </w:r>
      <w:r>
        <w:rPr>
          <w:sz w:val="22"/>
        </w:rPr>
        <w:t>consulta</w:t>
      </w:r>
      <w:r>
        <w:rPr>
          <w:spacing w:val="-1"/>
          <w:sz w:val="22"/>
        </w:rPr>
        <w:t> </w:t>
      </w:r>
      <w:r>
        <w:rPr>
          <w:sz w:val="22"/>
        </w:rPr>
        <w:t>no</w:t>
      </w:r>
      <w:r>
        <w:rPr>
          <w:spacing w:val="1"/>
          <w:sz w:val="22"/>
        </w:rPr>
        <w:t> </w:t>
      </w:r>
      <w:r>
        <w:rPr>
          <w:sz w:val="22"/>
        </w:rPr>
        <w:t>site</w:t>
      </w:r>
      <w:r>
        <w:rPr>
          <w:spacing w:val="-1"/>
          <w:sz w:val="22"/>
        </w:rPr>
        <w:t> </w:t>
      </w:r>
      <w:r>
        <w:rPr>
          <w:color w:val="0562C1"/>
          <w:sz w:val="22"/>
          <w:u w:val="single" w:color="0562C1"/>
        </w:rPr>
        <w:t>https://</w:t>
      </w:r>
      <w:hyperlink r:id="rId8">
        <w:r>
          <w:rPr>
            <w:color w:val="0562C1"/>
            <w:sz w:val="22"/>
            <w:u w:val="single" w:color="0562C1"/>
          </w:rPr>
          <w:t>www.igh.org.br/</w:t>
        </w:r>
      </w:hyperlink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5"/>
        </w:rPr>
      </w:pPr>
    </w:p>
    <w:p>
      <w:pPr>
        <w:spacing w:before="56"/>
        <w:ind w:left="121" w:right="0" w:firstLine="0"/>
        <w:jc w:val="left"/>
        <w:rPr>
          <w:sz w:val="22"/>
        </w:rPr>
      </w:pPr>
      <w:r>
        <w:rPr>
          <w:sz w:val="22"/>
        </w:rPr>
        <w:t>Goiânia/GO,</w:t>
      </w:r>
      <w:r>
        <w:rPr>
          <w:spacing w:val="-6"/>
          <w:sz w:val="22"/>
        </w:rPr>
        <w:t> </w:t>
      </w:r>
      <w:r>
        <w:rPr>
          <w:sz w:val="22"/>
        </w:rPr>
        <w:t>28</w:t>
      </w:r>
      <w:r>
        <w:rPr>
          <w:spacing w:val="-2"/>
          <w:sz w:val="22"/>
        </w:rPr>
        <w:t> </w:t>
      </w:r>
      <w:r>
        <w:rPr>
          <w:sz w:val="22"/>
        </w:rPr>
        <w:t>de</w:t>
      </w:r>
      <w:r>
        <w:rPr>
          <w:spacing w:val="2"/>
          <w:sz w:val="22"/>
        </w:rPr>
        <w:t> </w:t>
      </w:r>
      <w:r>
        <w:rPr>
          <w:sz w:val="22"/>
        </w:rPr>
        <w:t>fevereiro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-4"/>
          <w:sz w:val="22"/>
        </w:rPr>
        <w:t> </w:t>
      </w:r>
      <w:r>
        <w:rPr>
          <w:sz w:val="22"/>
        </w:rPr>
        <w:t>2024.</w:t>
      </w:r>
    </w:p>
    <w:sectPr>
      <w:type w:val="continuous"/>
      <w:pgSz w:w="11910" w:h="16840"/>
      <w:pgMar w:top="1360" w:bottom="280" w:left="1580" w:right="10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4"/>
      <w:szCs w:val="24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before="37"/>
      <w:ind w:left="3218" w:right="3548"/>
      <w:jc w:val="center"/>
    </w:pPr>
    <w:rPr>
      <w:rFonts w:ascii="Calibri" w:hAnsi="Calibri" w:eastAsia="Calibri" w:cs="Calibri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http://www.bionexo.com.br/" TargetMode="External"/><Relationship Id="rId6" Type="http://schemas.openxmlformats.org/officeDocument/2006/relationships/hyperlink" Target="mailto:compras.go@igh.org.br" TargetMode="External"/><Relationship Id="rId7" Type="http://schemas.openxmlformats.org/officeDocument/2006/relationships/hyperlink" Target="http://www.igh.org.br/transparencia)" TargetMode="External"/><Relationship Id="rId8" Type="http://schemas.openxmlformats.org/officeDocument/2006/relationships/hyperlink" Target="http://www.igh.org.br/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Danielly Cruz</dc:creator>
  <dc:title>Microsoft Word - EDITAL DE PUBLICAÇÃO</dc:title>
  <dcterms:created xsi:type="dcterms:W3CDTF">2024-03-01T12:53:39Z</dcterms:created>
  <dcterms:modified xsi:type="dcterms:W3CDTF">2024-03-01T12:53:39Z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2024-03-01T00:00:00Z</vt:filetime>
  </property>
  <property fmtid="{D5CDD505-2E9C-101B-9397-08002B2CF9AE}" pid="3" name="LastSaved">
    <vt:filetime>2024-03-01T00:00:00Z</vt:filetime>
  </property>
</Properties>
</file>