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08" w:rsidRDefault="009D5D11">
      <w:pPr>
        <w:spacing w:before="37"/>
        <w:ind w:left="2691" w:right="2600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 PREÇO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PRORROGAÇÃO</w:t>
      </w:r>
    </w:p>
    <w:p w:rsidR="008F5D08" w:rsidRDefault="009D5D11">
      <w:pPr>
        <w:pStyle w:val="Corpodetexto"/>
        <w:spacing w:before="182"/>
        <w:ind w:left="2689" w:right="2600"/>
        <w:jc w:val="center"/>
      </w:pPr>
      <w:r>
        <w:t>N°.</w:t>
      </w:r>
      <w:r>
        <w:rPr>
          <w:spacing w:val="53"/>
        </w:rPr>
        <w:t xml:space="preserve"> </w:t>
      </w:r>
      <w:r>
        <w:rPr>
          <w:spacing w:val="-2"/>
        </w:rPr>
        <w:t>20210802S009HMI</w:t>
      </w:r>
    </w:p>
    <w:p w:rsidR="008F5D08" w:rsidRDefault="008F5D08">
      <w:pPr>
        <w:pStyle w:val="Corpodetexto"/>
      </w:pPr>
    </w:p>
    <w:p w:rsidR="008F5D08" w:rsidRDefault="008F5D08">
      <w:pPr>
        <w:pStyle w:val="Corpodetexto"/>
        <w:spacing w:before="3"/>
        <w:rPr>
          <w:sz w:val="30"/>
        </w:rPr>
      </w:pPr>
    </w:p>
    <w:p w:rsidR="008F5D08" w:rsidRDefault="009D5D11">
      <w:pPr>
        <w:pStyle w:val="Corpodetexto"/>
        <w:spacing w:line="276" w:lineRule="auto"/>
        <w:ind w:left="202" w:right="107"/>
        <w:jc w:val="both"/>
      </w:pPr>
      <w:r>
        <w:t xml:space="preserve">O Instituto de Gestão e Humanização – IGH, entidade de direito privado e sem fins lucrativos, classificado como Organização Social, vem tornar público </w:t>
      </w:r>
      <w:r>
        <w:rPr>
          <w:u w:val="single"/>
        </w:rPr>
        <w:t>a prorrogação</w:t>
      </w:r>
      <w:r>
        <w:t xml:space="preserve"> de Tomada de Preços, com a finalidade de adquirir bens, insumos e serviços para o </w:t>
      </w:r>
      <w:r>
        <w:rPr>
          <w:b/>
        </w:rPr>
        <w:t xml:space="preserve">HMI </w:t>
      </w:r>
      <w:r>
        <w:t>– Hospital Estadual Materno-Infantil Dr. Jurandir do Nascimento, com endereço à Av. Perimetral, s/n, Qd. 37, Lt. 14, sala 01, Setor Coimbra, Goiânia/GO, CEP: 74.530-020.</w:t>
      </w:r>
    </w:p>
    <w:p w:rsidR="008F5D08" w:rsidRDefault="008F5D08">
      <w:pPr>
        <w:pStyle w:val="Corpodetexto"/>
        <w:rPr>
          <w:sz w:val="20"/>
        </w:rPr>
      </w:pPr>
    </w:p>
    <w:p w:rsidR="008F5D08" w:rsidRDefault="008F5D08">
      <w:pPr>
        <w:pStyle w:val="Corpodetexto"/>
        <w:rPr>
          <w:sz w:val="20"/>
        </w:rPr>
      </w:pPr>
    </w:p>
    <w:p w:rsidR="008F5D08" w:rsidRDefault="008F5D08">
      <w:pPr>
        <w:pStyle w:val="Corpodetexto"/>
        <w:spacing w:before="4"/>
        <w:rPr>
          <w:sz w:val="16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393"/>
      </w:tblGrid>
      <w:tr w:rsidR="008F5D08">
        <w:trPr>
          <w:trHeight w:val="244"/>
        </w:trPr>
        <w:tc>
          <w:tcPr>
            <w:tcW w:w="6652" w:type="dxa"/>
            <w:gridSpan w:val="2"/>
          </w:tcPr>
          <w:p w:rsidR="008F5D08" w:rsidRDefault="009D5D11">
            <w:pPr>
              <w:pStyle w:val="TableParagraph"/>
              <w:spacing w:line="225" w:lineRule="exact"/>
              <w:ind w:left="2536"/>
            </w:pPr>
            <w:r>
              <w:rPr>
                <w:u w:val="single"/>
              </w:rPr>
              <w:t>PERÍODO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PRORROGADO</w:t>
            </w:r>
          </w:p>
        </w:tc>
      </w:tr>
      <w:tr w:rsidR="008F5D08">
        <w:trPr>
          <w:trHeight w:val="269"/>
        </w:trPr>
        <w:tc>
          <w:tcPr>
            <w:tcW w:w="4259" w:type="dxa"/>
          </w:tcPr>
          <w:p w:rsidR="008F5D08" w:rsidRDefault="009D5D11">
            <w:pPr>
              <w:pStyle w:val="TableParagraph"/>
              <w:spacing w:line="249" w:lineRule="exact"/>
              <w:ind w:left="5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393" w:type="dxa"/>
          </w:tcPr>
          <w:p w:rsidR="008F5D08" w:rsidRDefault="009D5D11">
            <w:pPr>
              <w:pStyle w:val="TableParagraph"/>
              <w:spacing w:line="249" w:lineRule="exact"/>
              <w:ind w:right="80"/>
              <w:jc w:val="right"/>
              <w:rPr>
                <w:b/>
              </w:rPr>
            </w:pPr>
            <w:r>
              <w:rPr>
                <w:b/>
              </w:rPr>
              <w:t>18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</w:tr>
      <w:tr w:rsidR="008F5D08">
        <w:trPr>
          <w:trHeight w:val="245"/>
        </w:trPr>
        <w:tc>
          <w:tcPr>
            <w:tcW w:w="4259" w:type="dxa"/>
          </w:tcPr>
          <w:p w:rsidR="008F5D08" w:rsidRDefault="009D5D11">
            <w:pPr>
              <w:pStyle w:val="TableParagraph"/>
              <w:spacing w:line="225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5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393" w:type="dxa"/>
          </w:tcPr>
          <w:p w:rsidR="008F5D08" w:rsidRDefault="009D5D11">
            <w:pPr>
              <w:pStyle w:val="TableParagraph"/>
              <w:spacing w:line="225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</w:tr>
    </w:tbl>
    <w:p w:rsidR="008F5D08" w:rsidRDefault="008F5D08">
      <w:pPr>
        <w:pStyle w:val="Corpodetexto"/>
        <w:spacing w:before="3"/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999"/>
      </w:tblGrid>
      <w:tr w:rsidR="008F5D08">
        <w:trPr>
          <w:trHeight w:val="220"/>
        </w:trPr>
        <w:tc>
          <w:tcPr>
            <w:tcW w:w="7658" w:type="dxa"/>
            <w:shd w:val="clear" w:color="auto" w:fill="F1F1F1"/>
          </w:tcPr>
          <w:p w:rsidR="008F5D08" w:rsidRDefault="009D5D11">
            <w:pPr>
              <w:pStyle w:val="TableParagraph"/>
              <w:spacing w:before="1" w:line="199" w:lineRule="exact"/>
              <w:ind w:left="2918" w:right="291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999" w:type="dxa"/>
            <w:shd w:val="clear" w:color="auto" w:fill="F1F1F1"/>
          </w:tcPr>
          <w:p w:rsidR="008F5D08" w:rsidRDefault="009D5D11">
            <w:pPr>
              <w:pStyle w:val="TableParagraph"/>
              <w:spacing w:before="1" w:line="199" w:lineRule="exact"/>
              <w:ind w:right="14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 w:rsidR="008F5D08">
        <w:trPr>
          <w:trHeight w:val="659"/>
        </w:trPr>
        <w:tc>
          <w:tcPr>
            <w:tcW w:w="7658" w:type="dxa"/>
          </w:tcPr>
          <w:p w:rsidR="008F5D08" w:rsidRDefault="009D5D11">
            <w:pPr>
              <w:pStyle w:val="TableParagraph"/>
              <w:ind w:left="71" w:right="66" w:hanging="8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NA PRESTAÇÃO DO SERVIÇO DE COMODATO DE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BOMBAS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INFUSÃO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ROTATIVA,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INCLUINDO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FORNECIMENTO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INSUMOS.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8F5D08" w:rsidRDefault="009D5D11">
            <w:pPr>
              <w:pStyle w:val="TableParagraph"/>
              <w:spacing w:line="201" w:lineRule="exact"/>
              <w:ind w:left="2919" w:right="2913"/>
              <w:jc w:val="center"/>
              <w:rPr>
                <w:sz w:val="18"/>
              </w:rPr>
            </w:pPr>
            <w:r>
              <w:rPr>
                <w:sz w:val="18"/>
              </w:rPr>
              <w:t>REFERÊNCIA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ANEXO.</w:t>
            </w:r>
          </w:p>
        </w:tc>
        <w:tc>
          <w:tcPr>
            <w:tcW w:w="999" w:type="dxa"/>
          </w:tcPr>
          <w:p w:rsidR="008F5D08" w:rsidRDefault="008F5D08">
            <w:pPr>
              <w:pStyle w:val="TableParagraph"/>
              <w:spacing w:before="12"/>
              <w:rPr>
                <w:sz w:val="17"/>
              </w:rPr>
            </w:pPr>
          </w:p>
          <w:p w:rsidR="008F5D08" w:rsidRDefault="009D5D11">
            <w:pPr>
              <w:pStyle w:val="TableParagraph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:rsidR="008F5D08" w:rsidRDefault="009D5D11">
      <w:pPr>
        <w:ind w:left="202" w:right="106"/>
        <w:jc w:val="both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10"/>
        </w:rPr>
        <w:t xml:space="preserve"> </w:t>
      </w:r>
      <w:r>
        <w:rPr>
          <w:b/>
        </w:rPr>
        <w:t>supracitado,</w:t>
      </w:r>
      <w:r>
        <w:rPr>
          <w:b/>
          <w:spacing w:val="-8"/>
        </w:rPr>
        <w:t xml:space="preserve"> </w:t>
      </w:r>
      <w:r>
        <w:rPr>
          <w:b/>
        </w:rPr>
        <w:t>devido</w:t>
      </w:r>
      <w:r>
        <w:rPr>
          <w:b/>
          <w:spacing w:val="-9"/>
        </w:rPr>
        <w:t xml:space="preserve"> </w:t>
      </w:r>
      <w:r>
        <w:rPr>
          <w:b/>
        </w:rPr>
        <w:t>recebimento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proposta</w:t>
      </w:r>
      <w:r>
        <w:rPr>
          <w:b/>
          <w:spacing w:val="-12"/>
        </w:rPr>
        <w:t xml:space="preserve"> </w:t>
      </w:r>
      <w:r>
        <w:rPr>
          <w:b/>
        </w:rPr>
        <w:t>única,</w:t>
      </w:r>
      <w:r>
        <w:rPr>
          <w:b/>
          <w:spacing w:val="-8"/>
        </w:rPr>
        <w:t xml:space="preserve"> </w:t>
      </w:r>
      <w:r>
        <w:rPr>
          <w:b/>
        </w:rPr>
        <w:t>que</w:t>
      </w:r>
      <w:r>
        <w:rPr>
          <w:b/>
          <w:spacing w:val="-10"/>
        </w:rPr>
        <w:t xml:space="preserve"> </w:t>
      </w:r>
      <w:r>
        <w:rPr>
          <w:b/>
        </w:rPr>
        <w:t>supera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12"/>
        </w:rPr>
        <w:t xml:space="preserve"> </w:t>
      </w:r>
      <w:r>
        <w:rPr>
          <w:b/>
        </w:rPr>
        <w:t>teto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contratação</w:t>
      </w:r>
      <w:r>
        <w:rPr>
          <w:b/>
          <w:spacing w:val="-10"/>
        </w:rPr>
        <w:t xml:space="preserve"> </w:t>
      </w:r>
      <w:r>
        <w:rPr>
          <w:b/>
        </w:rPr>
        <w:t>via Tomada de Preços, conforme ART.17 Parágrafo segundo do Regulamento de Com</w:t>
      </w:r>
      <w:r>
        <w:rPr>
          <w:b/>
        </w:rPr>
        <w:t>pras GO.</w:t>
      </w:r>
    </w:p>
    <w:p w:rsidR="008F5D08" w:rsidRDefault="008F5D08">
      <w:pPr>
        <w:pStyle w:val="Corpodetexto"/>
        <w:spacing w:before="7"/>
        <w:rPr>
          <w:b/>
          <w:sz w:val="27"/>
        </w:rPr>
      </w:pPr>
    </w:p>
    <w:p w:rsidR="008F5D08" w:rsidRDefault="009D5D11">
      <w:pPr>
        <w:spacing w:line="276" w:lineRule="auto"/>
        <w:ind w:left="202" w:right="107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4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Nome comercial da empresa, CNPJ, Endereço, Contato da área comercial, E-mail, T</w:t>
      </w:r>
      <w:r>
        <w:t>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:rsidR="008F5D08" w:rsidRDefault="008F5D08">
      <w:pPr>
        <w:pStyle w:val="Corpodetexto"/>
        <w:spacing w:before="2"/>
        <w:rPr>
          <w:sz w:val="25"/>
        </w:rPr>
      </w:pPr>
    </w:p>
    <w:p w:rsidR="008F5D08" w:rsidRDefault="009D5D11">
      <w:pPr>
        <w:spacing w:before="1" w:line="259" w:lineRule="auto"/>
        <w:ind w:left="202" w:right="112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1"/>
        </w:rPr>
        <w:t xml:space="preserve"> </w:t>
      </w:r>
      <w:r>
        <w:t>Compras, Alienações 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 xml:space="preserve">e Serviços do Instituto de Gestão e Humanização na Execução De Contratos de Gestão no Estado De Goiás, disponível para consulta no site </w:t>
      </w:r>
      <w:hyperlink r:id="rId5">
        <w:r>
          <w:rPr>
            <w:color w:val="0462C1"/>
            <w:u w:val="single" w:color="0462C1"/>
          </w:rPr>
          <w:t>https://www.igh.</w:t>
        </w:r>
        <w:r>
          <w:rPr>
            <w:color w:val="0462C1"/>
            <w:u w:val="single" w:color="0462C1"/>
          </w:rPr>
          <w:t>org.br/</w:t>
        </w:r>
      </w:hyperlink>
    </w:p>
    <w:p w:rsidR="008F5D08" w:rsidRDefault="008F5D08">
      <w:pPr>
        <w:pStyle w:val="Corpodetexto"/>
        <w:rPr>
          <w:sz w:val="20"/>
        </w:rPr>
      </w:pPr>
    </w:p>
    <w:p w:rsidR="008F5D08" w:rsidRDefault="008F5D08">
      <w:pPr>
        <w:pStyle w:val="Corpodetexto"/>
        <w:rPr>
          <w:sz w:val="21"/>
        </w:rPr>
      </w:pPr>
    </w:p>
    <w:p w:rsidR="008F5D08" w:rsidRDefault="008F5D08">
      <w:pPr>
        <w:rPr>
          <w:sz w:val="21"/>
        </w:rPr>
        <w:sectPr w:rsidR="008F5D08">
          <w:type w:val="continuous"/>
          <w:pgSz w:w="11910" w:h="16840"/>
          <w:pgMar w:top="1360" w:right="1360" w:bottom="280" w:left="1500" w:header="720" w:footer="720" w:gutter="0"/>
          <w:cols w:space="720"/>
        </w:sectPr>
      </w:pPr>
    </w:p>
    <w:p w:rsidR="008F5D08" w:rsidRDefault="008F5D08">
      <w:pPr>
        <w:rPr>
          <w:rFonts w:ascii="Trebuchet MS"/>
          <w:sz w:val="9"/>
        </w:rPr>
        <w:sectPr w:rsidR="008F5D08">
          <w:type w:val="continuous"/>
          <w:pgSz w:w="11910" w:h="16840"/>
          <w:pgMar w:top="1360" w:right="1360" w:bottom="280" w:left="1500" w:header="720" w:footer="720" w:gutter="0"/>
          <w:cols w:num="2" w:space="720" w:equalWidth="0">
            <w:col w:w="1438" w:space="658"/>
            <w:col w:w="6954"/>
          </w:cols>
        </w:sectPr>
      </w:pPr>
      <w:bookmarkStart w:id="0" w:name="_GoBack"/>
      <w:bookmarkEnd w:id="0"/>
    </w:p>
    <w:p w:rsidR="008F5D08" w:rsidRDefault="009D5D11">
      <w:pPr>
        <w:spacing w:before="126"/>
        <w:ind w:left="202"/>
      </w:pPr>
      <w:r>
        <w:t>Goiânia/GO,</w:t>
      </w:r>
      <w:r>
        <w:rPr>
          <w:spacing w:val="-6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2021.</w:t>
      </w:r>
    </w:p>
    <w:sectPr w:rsidR="008F5D08">
      <w:type w:val="continuous"/>
      <w:pgSz w:w="11910" w:h="16840"/>
      <w:pgMar w:top="1360" w:right="13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08"/>
    <w:rsid w:val="008F5D08"/>
    <w:rsid w:val="009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307D0-9CC1-45D8-8C0F-486B0C5B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gh.org.br/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2024-02-15T18:10:00Z</dcterms:created>
  <dcterms:modified xsi:type="dcterms:W3CDTF">2024-02-15T18:10:00Z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