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C6D" w:rsidRDefault="001A5AE4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CB2C6D" w:rsidRDefault="001A5AE4">
      <w:pPr>
        <w:pStyle w:val="Corpodetexto"/>
        <w:spacing w:before="183"/>
        <w:ind w:left="2789" w:right="2760"/>
        <w:jc w:val="center"/>
      </w:pPr>
      <w:r>
        <w:t>N°</w:t>
      </w:r>
      <w:r>
        <w:rPr>
          <w:spacing w:val="-6"/>
        </w:rPr>
        <w:t xml:space="preserve"> </w:t>
      </w:r>
      <w:r>
        <w:t>20211903S020HMI</w:t>
      </w:r>
    </w:p>
    <w:p w:rsidR="00CB2C6D" w:rsidRDefault="00CB2C6D">
      <w:pPr>
        <w:pStyle w:val="Corpodetexto"/>
      </w:pPr>
    </w:p>
    <w:p w:rsidR="00CB2C6D" w:rsidRDefault="00CB2C6D">
      <w:pPr>
        <w:pStyle w:val="Corpodetexto"/>
        <w:rPr>
          <w:sz w:val="30"/>
        </w:rPr>
      </w:pPr>
    </w:p>
    <w:p w:rsidR="00CB2C6D" w:rsidRDefault="001A5AE4">
      <w:pPr>
        <w:pStyle w:val="Corpodetexto"/>
        <w:spacing w:line="360" w:lineRule="auto"/>
        <w:ind w:left="14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CB2C6D" w:rsidRDefault="00CB2C6D">
      <w:pPr>
        <w:pStyle w:val="Corpodetexto"/>
        <w:rPr>
          <w:sz w:val="20"/>
        </w:rPr>
      </w:pPr>
    </w:p>
    <w:p w:rsidR="00CB2C6D" w:rsidRDefault="00CB2C6D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4081"/>
        <w:gridCol w:w="1160"/>
        <w:gridCol w:w="1159"/>
      </w:tblGrid>
      <w:tr w:rsidR="00CB2C6D">
        <w:trPr>
          <w:trHeight w:val="480"/>
        </w:trPr>
        <w:tc>
          <w:tcPr>
            <w:tcW w:w="1961" w:type="dxa"/>
            <w:shd w:val="clear" w:color="auto" w:fill="D0CECE"/>
          </w:tcPr>
          <w:p w:rsidR="00CB2C6D" w:rsidRDefault="001A5AE4">
            <w:pPr>
              <w:pStyle w:val="TableParagraph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4081" w:type="dxa"/>
            <w:shd w:val="clear" w:color="auto" w:fill="D0CECE"/>
          </w:tcPr>
          <w:p w:rsidR="00CB2C6D" w:rsidRDefault="001A5AE4">
            <w:pPr>
              <w:pStyle w:val="TableParagraph"/>
              <w:ind w:left="364" w:right="3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160" w:type="dxa"/>
            <w:shd w:val="clear" w:color="auto" w:fill="D0CECE"/>
          </w:tcPr>
          <w:p w:rsidR="00CB2C6D" w:rsidRDefault="001A5AE4">
            <w:pPr>
              <w:pStyle w:val="TableParagraph"/>
              <w:spacing w:before="20" w:line="220" w:lineRule="atLeast"/>
              <w:ind w:left="261" w:right="241" w:firstLine="60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MENSAL</w:t>
            </w:r>
          </w:p>
        </w:tc>
        <w:tc>
          <w:tcPr>
            <w:tcW w:w="1159" w:type="dxa"/>
            <w:shd w:val="clear" w:color="auto" w:fill="D0CECE"/>
          </w:tcPr>
          <w:p w:rsidR="00CB2C6D" w:rsidRDefault="001A5AE4">
            <w:pPr>
              <w:pStyle w:val="TableParagraph"/>
              <w:ind w:left="220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CB2C6D">
        <w:trPr>
          <w:trHeight w:val="736"/>
        </w:trPr>
        <w:tc>
          <w:tcPr>
            <w:tcW w:w="1961" w:type="dxa"/>
          </w:tcPr>
          <w:p w:rsidR="00CB2C6D" w:rsidRDefault="001A5AE4">
            <w:pPr>
              <w:pStyle w:val="TableParagraph"/>
              <w:spacing w:before="56"/>
              <w:ind w:left="146" w:right="137" w:hanging="1"/>
              <w:jc w:val="center"/>
              <w:rPr>
                <w:sz w:val="17"/>
              </w:rPr>
            </w:pPr>
            <w:r>
              <w:rPr>
                <w:sz w:val="17"/>
              </w:rPr>
              <w:t>JRV SERVICOS LTDA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CNPJ: </w:t>
            </w:r>
            <w:r>
              <w:rPr>
                <w:sz w:val="17"/>
              </w:rPr>
              <w:t>08.208.805/0001-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37</w:t>
            </w:r>
          </w:p>
        </w:tc>
        <w:tc>
          <w:tcPr>
            <w:tcW w:w="4081" w:type="dxa"/>
          </w:tcPr>
          <w:p w:rsidR="00CB2C6D" w:rsidRDefault="001A5AE4">
            <w:pPr>
              <w:pStyle w:val="TableParagraph"/>
              <w:spacing w:before="56"/>
              <w:ind w:left="364" w:right="356"/>
              <w:jc w:val="center"/>
              <w:rPr>
                <w:sz w:val="17"/>
              </w:rPr>
            </w:pPr>
            <w:r>
              <w:rPr>
                <w:sz w:val="17"/>
              </w:rPr>
              <w:t>CONTRATAÇÃO DE EMPRESA ESPECIALIZADA NA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PRESTAÇÃO DE SERVIÇO DE GERENCIAMENTO 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LOCAÇÃO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 ESTRUTURA 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</w:t>
            </w:r>
          </w:p>
        </w:tc>
        <w:tc>
          <w:tcPr>
            <w:tcW w:w="1160" w:type="dxa"/>
          </w:tcPr>
          <w:p w:rsidR="00CB2C6D" w:rsidRDefault="00CB2C6D">
            <w:pPr>
              <w:pStyle w:val="TableParagraph"/>
              <w:spacing w:before="6"/>
              <w:rPr>
                <w:sz w:val="21"/>
              </w:rPr>
            </w:pPr>
          </w:p>
          <w:p w:rsidR="00CB2C6D" w:rsidRDefault="001A5AE4">
            <w:pPr>
              <w:pStyle w:val="TableParagraph"/>
              <w:spacing w:before="0"/>
              <w:ind w:left="169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4.200,00</w:t>
            </w:r>
          </w:p>
        </w:tc>
        <w:tc>
          <w:tcPr>
            <w:tcW w:w="1159" w:type="dxa"/>
          </w:tcPr>
          <w:p w:rsidR="00CB2C6D" w:rsidRDefault="00CB2C6D">
            <w:pPr>
              <w:pStyle w:val="TableParagraph"/>
              <w:spacing w:before="6"/>
              <w:rPr>
                <w:sz w:val="21"/>
              </w:rPr>
            </w:pPr>
          </w:p>
          <w:p w:rsidR="00CB2C6D" w:rsidRDefault="001A5AE4">
            <w:pPr>
              <w:pStyle w:val="TableParagraph"/>
              <w:spacing w:before="0"/>
              <w:ind w:left="176" w:right="166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MESES</w:t>
            </w:r>
          </w:p>
        </w:tc>
      </w:tr>
    </w:tbl>
    <w:p w:rsidR="00CB2C6D" w:rsidRDefault="00CB2C6D">
      <w:pPr>
        <w:pStyle w:val="Corpodetexto"/>
        <w:spacing w:before="10"/>
        <w:rPr>
          <w:sz w:val="26"/>
        </w:rPr>
      </w:pPr>
    </w:p>
    <w:p w:rsidR="00CB2C6D" w:rsidRDefault="00CB2C6D">
      <w:pPr>
        <w:rPr>
          <w:sz w:val="26"/>
        </w:rPr>
        <w:sectPr w:rsidR="00CB2C6D">
          <w:type w:val="continuous"/>
          <w:pgSz w:w="11910" w:h="16840"/>
          <w:pgMar w:top="1360" w:right="1360" w:bottom="280" w:left="1560" w:header="720" w:footer="720" w:gutter="0"/>
          <w:cols w:space="720"/>
        </w:sectPr>
      </w:pPr>
      <w:bookmarkStart w:id="0" w:name="_GoBack"/>
      <w:bookmarkEnd w:id="0"/>
    </w:p>
    <w:p w:rsidR="00CB2C6D" w:rsidRDefault="001A5AE4">
      <w:pPr>
        <w:pStyle w:val="Corpodetexto"/>
        <w:spacing w:before="10"/>
        <w:rPr>
          <w:rFonts w:ascii="Trebuchet MS"/>
          <w:sz w:val="9"/>
        </w:rPr>
      </w:pPr>
      <w:r>
        <w:br w:type="column"/>
      </w:r>
    </w:p>
    <w:p w:rsidR="00CB2C6D" w:rsidRDefault="00CB2C6D">
      <w:pPr>
        <w:rPr>
          <w:rFonts w:ascii="Trebuchet MS"/>
          <w:sz w:val="10"/>
        </w:rPr>
        <w:sectPr w:rsidR="00CB2C6D">
          <w:type w:val="continuous"/>
          <w:pgSz w:w="11910" w:h="16840"/>
          <w:pgMar w:top="1360" w:right="1360" w:bottom="280" w:left="1560" w:header="720" w:footer="720" w:gutter="0"/>
          <w:cols w:num="2" w:space="720" w:equalWidth="0">
            <w:col w:w="1657" w:space="744"/>
            <w:col w:w="6589"/>
          </w:cols>
        </w:sectPr>
      </w:pPr>
    </w:p>
    <w:p w:rsidR="00CB2C6D" w:rsidRDefault="001A5AE4">
      <w:pPr>
        <w:pStyle w:val="Corpodetexto"/>
        <w:spacing w:before="72"/>
        <w:ind w:left="142"/>
      </w:pPr>
      <w:r>
        <w:t>Goiânia/GO,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</w:p>
    <w:sectPr w:rsidR="00CB2C6D">
      <w:type w:val="continuous"/>
      <w:pgSz w:w="11910" w:h="16840"/>
      <w:pgMar w:top="1360" w:right="13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6D"/>
    <w:rsid w:val="001A5AE4"/>
    <w:rsid w:val="00CB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F8CE5-E0B3-4570-88B9-0ACBC1D7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278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2024-02-15T12:31:00Z</dcterms:created>
  <dcterms:modified xsi:type="dcterms:W3CDTF">2024-02-15T12:31:00Z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</Properties>
</file>