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3ADD9318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071FC7">
        <w:rPr>
          <w:rFonts w:ascii="Arial" w:hAnsi="Arial" w:cs="Arial"/>
          <w:bCs/>
          <w:sz w:val="24"/>
          <w:szCs w:val="24"/>
        </w:rPr>
        <w:t>20231105C004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0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</w:t>
      </w:r>
      <w:bookmarkStart w:id="1" w:name="_GoBack"/>
      <w:bookmarkEnd w:id="1"/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DB09864" w14:textId="5A7EA085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3F62C42E" w:rsidR="00181501" w:rsidRPr="00071FC7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restação de serviço de monitoramento individual de radiação ionizada (dosímetros)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CE6FAE4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F451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18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61127DE6" w:rsidR="008736AB" w:rsidRDefault="00625986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11 de Maio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B2AE-251E-4927-AC9A-A5E88622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12</cp:revision>
  <cp:lastPrinted>2022-04-06T14:56:00Z</cp:lastPrinted>
  <dcterms:created xsi:type="dcterms:W3CDTF">2022-04-06T17:45:00Z</dcterms:created>
  <dcterms:modified xsi:type="dcterms:W3CDTF">2023-05-11T13:35:00Z</dcterms:modified>
</cp:coreProperties>
</file>