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50"/>
        <w:ind w:left="2582" w:right="2585"/>
        <w:jc w:val="center"/>
      </w:pPr>
      <w:r>
        <w:rPr/>
        <w:t>2023156TP38423HEMU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61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222" w:right="191"/>
              <w:jc w:val="center"/>
              <w:rPr>
                <w:sz w:val="19"/>
              </w:rPr>
            </w:pPr>
            <w:r>
              <w:rPr>
                <w:sz w:val="19"/>
              </w:rPr>
              <w:t>GDB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22" w:right="180"/>
              <w:jc w:val="center"/>
              <w:rPr>
                <w:sz w:val="21"/>
              </w:rPr>
            </w:pPr>
            <w:r>
              <w:rPr>
                <w:sz w:val="21"/>
              </w:rPr>
              <w:t>23.813.386/0001-56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DESFIBRILADOR/CARDIOVERSOR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271" w:right="26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ind w:left="127"/>
              <w:rPr>
                <w:sz w:val="19"/>
              </w:rPr>
            </w:pPr>
            <w:r>
              <w:rPr>
                <w:sz w:val="19"/>
              </w:rPr>
              <w:t>R$</w:t>
              <w:tab/>
              <w:t>1.600,00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28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dezembro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2023-12-28T12:08:59Z</dcterms:created>
  <dcterms:modified xsi:type="dcterms:W3CDTF">2023-12-28T12:08:59Z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LastSaved">
    <vt:filetime>2023-12-28T00:00:00Z</vt:filetime>
  </property>
</Properties>
</file>