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50"/>
        <w:ind w:left="2582" w:right="2585"/>
        <w:jc w:val="center"/>
      </w:pPr>
      <w:r>
        <w:rPr/>
        <w:t>2023156TP38424HEMU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80" w:right="49"/>
              <w:jc w:val="center"/>
              <w:rPr>
                <w:sz w:val="19"/>
              </w:rPr>
            </w:pPr>
            <w:r>
              <w:rPr>
                <w:sz w:val="19"/>
              </w:rPr>
              <w:t>SXMEDIC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COMERCIO,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LOCACAO</w:t>
            </w:r>
            <w:r>
              <w:rPr>
                <w:spacing w:val="-39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80" w:right="38"/>
              <w:jc w:val="center"/>
              <w:rPr>
                <w:sz w:val="21"/>
              </w:rPr>
            </w:pPr>
            <w:r>
              <w:rPr>
                <w:sz w:val="21"/>
              </w:rPr>
              <w:t>29.562.894/0001-95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BALANÇA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ELETRONICA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PEDIÁTRICA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271" w:right="26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330" w:val="left" w:leader="none"/>
              </w:tabs>
              <w:ind w:left="128"/>
              <w:rPr>
                <w:sz w:val="19"/>
              </w:rPr>
            </w:pPr>
            <w:r>
              <w:rPr>
                <w:sz w:val="19"/>
              </w:rPr>
              <w:t>R$</w:t>
              <w:tab/>
              <w:t>90,00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27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Mirella Santos Cardoso</dc:creator>
  <dc:title>FOLLOW UP SERVIÇOS - GOIÁS - 2023.xlsx</dc:title>
  <dcterms:created xsi:type="dcterms:W3CDTF">2023-10-27T18:19:31Z</dcterms:created>
  <dcterms:modified xsi:type="dcterms:W3CDTF">2023-10-27T18:19:31Z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</Properties>
</file>