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17" w:right="0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PROCESSO</w:t>
      </w:r>
    </w:p>
    <w:p>
      <w:pPr>
        <w:pStyle w:val="BodyText"/>
        <w:spacing w:before="70"/>
        <w:ind w:left="17" w:right="10"/>
        <w:jc w:val="center"/>
      </w:pPr>
      <w:r>
        <w:rPr>
          <w:spacing w:val="-2"/>
        </w:rPr>
        <w:t>2023207TP38758HEMU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7" w:right="0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19"/>
        <w:ind w:left="17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R-7,</w:t>
      </w:r>
      <w:r>
        <w:rPr>
          <w:spacing w:val="-6"/>
          <w:sz w:val="21"/>
        </w:rPr>
        <w:t> </w:t>
      </w:r>
      <w:r>
        <w:rPr>
          <w:sz w:val="21"/>
        </w:rPr>
        <w:t>S/N,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Oeste,</w:t>
      </w:r>
      <w:r>
        <w:rPr>
          <w:spacing w:val="-6"/>
          <w:sz w:val="21"/>
        </w:rPr>
        <w:t> </w:t>
      </w:r>
      <w:r>
        <w:rPr>
          <w:sz w:val="21"/>
        </w:rPr>
        <w:t>Goiânia,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0"/>
        <w:rPr>
          <w:sz w:val="26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5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195" w:right="155" w:firstLine="2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 ESPECIALIZADA PARA PRESTAÇÃO 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DE: REESTRUTURAÇÃO 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ORGANIZAÇÃO DOS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CARRINHOS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EMERGÊNCIA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3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55" w:right="2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21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" w:right="15"/>
      <w:jc w:val="center"/>
    </w:pPr>
    <w:rPr>
      <w:rFonts w:ascii="Carlito" w:hAnsi="Carlito" w:eastAsia="Carlito" w:cs="Carlito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2024-11-21T15:53:10Z</dcterms:created>
  <dcterms:modified xsi:type="dcterms:W3CDTF">2024-11-21T15:53:10Z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3-Heights(TM) PDF Security Shell 4.8.25.2 (http://www.pdf-tools.com)</vt:lpwstr>
  </property>
</Properties>
</file>