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7"/>
        </w:rPr>
        <w:t> </w:t>
      </w:r>
      <w:r>
        <w:rPr/>
        <w:t>PREÇO</w:t>
      </w:r>
      <w:r>
        <w:rPr>
          <w:rFonts w:ascii="Times New Roman" w:hAnsi="Times New Roman"/>
          <w:spacing w:val="-7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>
          <w:spacing w:val="-2"/>
        </w:rPr>
        <w:t>PRORROGAÇÃO</w:t>
      </w:r>
    </w:p>
    <w:p>
      <w:pPr>
        <w:spacing w:before="47"/>
        <w:ind w:left="319" w:right="293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202378TP42583HEMU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22" w:right="29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11"/>
      </w:pPr>
      <w:r>
        <w:rPr/>
        <w:t>HEMU</w:t>
      </w:r>
      <w:r>
        <w:rPr>
          <w:rFonts w:ascii="Times New Roman"/>
          <w:b w:val="0"/>
          <w:spacing w:val="-1"/>
        </w:rPr>
        <w:t> </w:t>
      </w:r>
      <w:r>
        <w:rPr/>
        <w:t>-</w:t>
      </w:r>
      <w:r>
        <w:rPr>
          <w:rFonts w:ascii="Times New Roman"/>
          <w:b w:val="0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Estadual</w:t>
      </w:r>
      <w:r>
        <w:rPr>
          <w:rFonts w:ascii="Times New Roman"/>
          <w:b w:val="0"/>
        </w:rPr>
        <w:t> </w:t>
      </w:r>
      <w:r>
        <w:rPr/>
        <w:t>da</w:t>
      </w:r>
      <w:r>
        <w:rPr>
          <w:rFonts w:ascii="Times New Roman"/>
          <w:b w:val="0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322" w:right="288"/>
        <w:jc w:val="center"/>
      </w:pPr>
      <w:r>
        <w:rPr/>
        <w:t>Rua</w:t>
      </w:r>
      <w:r>
        <w:rPr>
          <w:rFonts w:ascii="Times New Roman" w:hAnsi="Times New Roman"/>
          <w:spacing w:val="-2"/>
        </w:rPr>
        <w:t> </w:t>
      </w:r>
      <w:r>
        <w:rPr/>
        <w:t>R-7,</w:t>
      </w:r>
      <w:r>
        <w:rPr>
          <w:rFonts w:ascii="Times New Roman" w:hAnsi="Times New Roman"/>
          <w:spacing w:val="-2"/>
        </w:rPr>
        <w:t> </w:t>
      </w:r>
      <w:r>
        <w:rPr/>
        <w:t>S/N,</w:t>
      </w:r>
      <w:r>
        <w:rPr>
          <w:rFonts w:ascii="Times New Roman" w:hAnsi="Times New Roman"/>
          <w:spacing w:val="-2"/>
        </w:rPr>
        <w:t> </w:t>
      </w:r>
      <w:r>
        <w:rPr/>
        <w:t>Setor</w:t>
      </w:r>
      <w:r>
        <w:rPr>
          <w:rFonts w:ascii="Times New Roman" w:hAnsi="Times New Roman"/>
          <w:spacing w:val="-2"/>
        </w:rPr>
        <w:t> </w:t>
      </w:r>
      <w:r>
        <w:rPr/>
        <w:t>Oeste,</w:t>
      </w:r>
      <w:r>
        <w:rPr>
          <w:rFonts w:ascii="Times New Roman" w:hAnsi="Times New Roman"/>
          <w:spacing w:val="-1"/>
        </w:rPr>
        <w:t> </w:t>
      </w:r>
      <w:r>
        <w:rPr/>
        <w:t>Goiânia,</w:t>
      </w:r>
      <w:r>
        <w:rPr>
          <w:rFonts w:ascii="Times New Roman" w:hAnsi="Times New Roman"/>
          <w:spacing w:val="-2"/>
        </w:rPr>
        <w:t> </w:t>
      </w:r>
      <w:r>
        <w:rPr/>
        <w:t>CEP:</w:t>
      </w:r>
      <w:r>
        <w:rPr>
          <w:rFonts w:ascii="Times New Roman" w:hAnsi="Times New Roman"/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id="docshapegroup1" coordorigin="1282,359" coordsize="9329,689">
            <v:rect style="position:absolute;left:1281;top:359;width:9329;height:689" id="docshape2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id="docshape3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rFonts w:ascii="Times New Roman" w:hAnsi="Times New Roman"/>
                        <w:spacing w:val="-4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pacing w:val="-2"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id="docshape4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rFonts w:ascii="Times New Roman"/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spacing w:val="-2"/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id="docshape5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11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rFonts w:ascii="Times New Roman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rFonts w:ascii="Times New Roman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spacing w:val="-4"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64" w:lineRule="auto" w:before="61"/>
        <w:ind w:left="1423" w:right="1410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74.125-090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299" w:right="293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enviada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  <w:spacing w:val="-3"/>
        </w:rPr>
        <w:t> </w:t>
      </w:r>
      <w:r>
        <w:rPr/>
        <w:t>e-mail</w:t>
      </w:r>
      <w:r>
        <w:rPr>
          <w:rFonts w:ascii="Times New Roman" w:hAnsi="Times New Roman"/>
          <w:spacing w:val="-1"/>
        </w:rPr>
        <w:t> </w:t>
      </w:r>
      <w:r>
        <w:rPr/>
        <w:t>para:</w:t>
      </w:r>
      <w:r>
        <w:rPr>
          <w:rFonts w:ascii="Times New Roman" w:hAnsi="Times New Roman"/>
          <w:spacing w:val="44"/>
        </w:rPr>
        <w:t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4"/>
        <w:ind w:left="297" w:right="275" w:hanging="10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group style="position:absolute;margin-left:62.639999pt;margin-top:11.731148pt;width:468.75pt;height:107.8pt;mso-position-horizontal-relative:page;mso-position-vertical-relative:paragraph;z-index:-15728128;mso-wrap-distance-left:0;mso-wrap-distance-right:0" id="docshapegroup6" coordorigin="1253,235" coordsize="9375,2156">
            <v:shape style="position:absolute;left:1281;top:253;width:9329;height:284" type="#_x0000_t202" id="docshape7" filled="true" fillcolor="#d9d9d9" stroked="false">
              <v:textbox inset="0,0,0,0">
                <w:txbxContent>
                  <w:p>
                    <w:pPr>
                      <w:spacing w:before="13"/>
                      <w:ind w:left="3582" w:right="3584" w:firstLine="0"/>
                      <w:jc w:val="center"/>
                      <w:rPr>
                        <w:color w:val="000000"/>
                        <w:sz w:val="21"/>
                      </w:rPr>
                    </w:pPr>
                    <w:r>
                      <w:rPr>
                        <w:color w:val="000000"/>
                        <w:sz w:val="21"/>
                      </w:rPr>
                      <w:t>DESCRIÇÃO</w:t>
                    </w:r>
                    <w:r>
                      <w:rPr>
                        <w:rFonts w:ascii="Times New Roman" w:hAnsi="Times New Roman"/>
                        <w:color w:val="000000"/>
                        <w:spacing w:val="-4"/>
                        <w:sz w:val="21"/>
                      </w:rPr>
                      <w:t> </w:t>
                    </w:r>
                    <w:r>
                      <w:rPr>
                        <w:color w:val="000000"/>
                        <w:sz w:val="21"/>
                      </w:rPr>
                      <w:t>DO</w:t>
                    </w:r>
                    <w:r>
                      <w:rPr>
                        <w:rFonts w:ascii="Times New Roman" w:hAnsi="Times New Roman"/>
                        <w:color w:val="000000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000000"/>
                        <w:spacing w:val="-2"/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v:shape style="position:absolute;left:1252;top:234;width:9375;height:2156" id="docshape8" coordorigin="1253,235" coordsize="9375,2156" path="m10627,235l1291,235,1253,235,1253,2390,1291,2390,10589,2390,10627,2390,10627,2351,10627,273,10589,273,10589,525,10589,544,10589,2351,1291,2351,1291,544,10589,544,10589,525,1291,525,1291,273,10627,273,10627,235xe" filled="true" fillcolor="#000000" stroked="false">
              <v:path arrowok="t"/>
              <v:fill type="solid"/>
            </v:shape>
            <v:shape style="position:absolute;left:1291;top:544;width:9298;height:1808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3333" w:right="0" w:hanging="330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PLOTAGEM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FACHADA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BANCO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LEITE</w:t>
                    </w:r>
                    <w:r>
                      <w:rPr>
                        <w:rFonts w:ascii="Times New Roman" w:hAnsi="Times New Roman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HUMANO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spacing w:line="264" w:lineRule="auto" w:before="61"/>
      </w:pPr>
      <w:r>
        <w:rPr/>
        <w:t>Prorroga-se</w:t>
      </w:r>
      <w:r>
        <w:rPr>
          <w:rFonts w:ascii="Times New Roman" w:hAnsi="Times New Roman"/>
          <w:b w:val="0"/>
        </w:rPr>
        <w:t> </w:t>
      </w:r>
      <w:r>
        <w:rPr/>
        <w:t>o</w:t>
      </w:r>
      <w:r>
        <w:rPr>
          <w:rFonts w:ascii="Times New Roman" w:hAnsi="Times New Roman"/>
          <w:b w:val="0"/>
        </w:rPr>
        <w:t> </w:t>
      </w:r>
      <w:r>
        <w:rPr/>
        <w:t>prazo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recebimento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propostas</w:t>
      </w:r>
      <w:r>
        <w:rPr>
          <w:rFonts w:ascii="Times New Roman" w:hAnsi="Times New Roman"/>
          <w:b w:val="0"/>
        </w:rPr>
        <w:t> </w:t>
      </w:r>
      <w:r>
        <w:rPr/>
        <w:t>comerciais</w:t>
      </w:r>
      <w:r>
        <w:rPr>
          <w:rFonts w:ascii="Times New Roman" w:hAnsi="Times New Roman"/>
          <w:b w:val="0"/>
        </w:rPr>
        <w:t> </w:t>
      </w:r>
      <w:r>
        <w:rPr/>
        <w:t>referente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contratação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objeto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citado.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264" w:lineRule="auto"/>
        <w:ind w:left="193" w:right="18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6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setembro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1" w:right="29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22" w:right="28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2023-09-06T14:30:00Z</dcterms:created>
  <dcterms:modified xsi:type="dcterms:W3CDTF">2023-09-06T14:30:00Z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2023-09-06T00:00:00Z</vt:filetime>
  </property>
  <property fmtid="{D5CDD505-2E9C-101B-9397-08002B2CF9AE}" pid="5" name="Producer">
    <vt:lpwstr>GPL Ghostscript 9.27</vt:lpwstr>
  </property>
</Properties>
</file>