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RESULTADO DO</w:t>
      </w:r>
      <w:r>
        <w:rPr>
          <w:spacing w:val="-5"/>
        </w:rPr>
        <w:t> </w:t>
      </w:r>
      <w:r>
        <w:rPr>
          <w:spacing w:val="-2"/>
        </w:rPr>
        <w:t>PROCESSO</w:t>
      </w:r>
    </w:p>
    <w:p>
      <w:pPr>
        <w:pStyle w:val="BodyText"/>
        <w:spacing w:before="45"/>
        <w:ind w:left="128" w:right="128"/>
        <w:jc w:val="center"/>
      </w:pPr>
      <w:r>
        <w:rPr>
          <w:spacing w:val="-2"/>
        </w:rPr>
        <w:t>2024247TP61501HEMU</w:t>
      </w:r>
    </w:p>
    <w:p>
      <w:pPr>
        <w:pStyle w:val="BodyText"/>
        <w:spacing w:before="35"/>
      </w:pPr>
    </w:p>
    <w:p>
      <w:pPr>
        <w:pStyle w:val="BodyText"/>
        <w:spacing w:line="256" w:lineRule="auto"/>
        <w:ind w:left="116" w:right="128"/>
        <w:jc w:val="center"/>
      </w:pPr>
      <w:r>
        <w:rPr/>
        <w:t>O</w:t>
      </w:r>
      <w:r>
        <w:rPr>
          <w:spacing w:val="-6"/>
        </w:rPr>
        <w:t> </w:t>
      </w:r>
      <w:r>
        <w:rPr/>
        <w:t>Instituto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Gestão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/>
        <w:t>Humanização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IGH,</w:t>
      </w:r>
      <w:r>
        <w:rPr>
          <w:spacing w:val="-6"/>
        </w:rPr>
        <w:t> </w:t>
      </w:r>
      <w:r>
        <w:rPr/>
        <w:t>entidade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direito</w:t>
      </w:r>
      <w:r>
        <w:rPr>
          <w:spacing w:val="-7"/>
        </w:rPr>
        <w:t> </w:t>
      </w:r>
      <w:r>
        <w:rPr/>
        <w:t>privado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sem</w:t>
      </w:r>
      <w:r>
        <w:rPr>
          <w:spacing w:val="-7"/>
        </w:rPr>
        <w:t> </w:t>
      </w:r>
      <w:r>
        <w:rPr/>
        <w:t>fins</w:t>
      </w:r>
      <w:r>
        <w:rPr>
          <w:spacing w:val="-9"/>
        </w:rPr>
        <w:t> </w:t>
      </w:r>
      <w:r>
        <w:rPr/>
        <w:t>lucrativos,</w:t>
      </w:r>
      <w:r>
        <w:rPr>
          <w:spacing w:val="-6"/>
        </w:rPr>
        <w:t> </w:t>
      </w:r>
      <w:r>
        <w:rPr/>
        <w:t>classificado</w:t>
      </w:r>
      <w:r>
        <w:rPr>
          <w:spacing w:val="-7"/>
        </w:rPr>
        <w:t> </w:t>
      </w:r>
      <w:r>
        <w:rPr/>
        <w:t>como Organização Social, vem tornar público o resultado de processo, com a finalidade de adquirir bens, insumos e serviços para a(s) seguinte(s) unidade(s):</w:t>
      </w:r>
    </w:p>
    <w:p>
      <w:pPr>
        <w:spacing w:before="211"/>
        <w:ind w:left="130" w:right="128" w:firstLine="0"/>
        <w:jc w:val="center"/>
        <w:rPr>
          <w:b/>
          <w:sz w:val="19"/>
        </w:rPr>
      </w:pPr>
      <w:r>
        <w:rPr>
          <w:b/>
          <w:sz w:val="19"/>
        </w:rPr>
        <w:t>HEMU</w:t>
      </w:r>
      <w:r>
        <w:rPr>
          <w:b/>
          <w:spacing w:val="8"/>
          <w:sz w:val="19"/>
        </w:rPr>
        <w:t> </w:t>
      </w:r>
      <w:r>
        <w:rPr>
          <w:b/>
          <w:sz w:val="19"/>
        </w:rPr>
        <w:t>-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Hospital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Estadual</w:t>
      </w:r>
      <w:r>
        <w:rPr>
          <w:b/>
          <w:spacing w:val="7"/>
          <w:sz w:val="19"/>
        </w:rPr>
        <w:t> </w:t>
      </w:r>
      <w:r>
        <w:rPr>
          <w:b/>
          <w:sz w:val="19"/>
        </w:rPr>
        <w:t>da</w:t>
      </w:r>
      <w:r>
        <w:rPr>
          <w:b/>
          <w:spacing w:val="8"/>
          <w:sz w:val="19"/>
        </w:rPr>
        <w:t> </w:t>
      </w:r>
      <w:r>
        <w:rPr>
          <w:b/>
          <w:spacing w:val="-2"/>
          <w:sz w:val="19"/>
        </w:rPr>
        <w:t>Mulher</w:t>
      </w:r>
    </w:p>
    <w:p>
      <w:pPr>
        <w:spacing w:before="23"/>
        <w:ind w:left="128" w:right="128" w:firstLine="0"/>
        <w:jc w:val="center"/>
        <w:rPr>
          <w:sz w:val="19"/>
        </w:rPr>
      </w:pPr>
      <w:r>
        <w:rPr>
          <w:sz w:val="19"/>
        </w:rPr>
        <w:t>Rua</w:t>
      </w:r>
      <w:r>
        <w:rPr>
          <w:spacing w:val="10"/>
          <w:sz w:val="19"/>
        </w:rPr>
        <w:t> </w:t>
      </w:r>
      <w:r>
        <w:rPr>
          <w:sz w:val="19"/>
        </w:rPr>
        <w:t>R-7,</w:t>
      </w:r>
      <w:r>
        <w:rPr>
          <w:spacing w:val="7"/>
          <w:sz w:val="19"/>
        </w:rPr>
        <w:t> </w:t>
      </w:r>
      <w:r>
        <w:rPr>
          <w:sz w:val="19"/>
        </w:rPr>
        <w:t>S/N,</w:t>
      </w:r>
      <w:r>
        <w:rPr>
          <w:spacing w:val="8"/>
          <w:sz w:val="19"/>
        </w:rPr>
        <w:t> </w:t>
      </w:r>
      <w:r>
        <w:rPr>
          <w:sz w:val="19"/>
        </w:rPr>
        <w:t>Setor</w:t>
      </w:r>
      <w:r>
        <w:rPr>
          <w:spacing w:val="8"/>
          <w:sz w:val="19"/>
        </w:rPr>
        <w:t> </w:t>
      </w:r>
      <w:r>
        <w:rPr>
          <w:sz w:val="19"/>
        </w:rPr>
        <w:t>Oeste,</w:t>
      </w:r>
      <w:r>
        <w:rPr>
          <w:spacing w:val="8"/>
          <w:sz w:val="19"/>
        </w:rPr>
        <w:t> </w:t>
      </w:r>
      <w:r>
        <w:rPr>
          <w:sz w:val="19"/>
        </w:rPr>
        <w:t>Goiânia,</w:t>
      </w:r>
      <w:r>
        <w:rPr>
          <w:spacing w:val="7"/>
          <w:sz w:val="19"/>
        </w:rPr>
        <w:t> </w:t>
      </w:r>
      <w:r>
        <w:rPr>
          <w:sz w:val="19"/>
        </w:rPr>
        <w:t>CEP:</w:t>
      </w:r>
      <w:r>
        <w:rPr>
          <w:spacing w:val="12"/>
          <w:sz w:val="19"/>
        </w:rPr>
        <w:t> </w:t>
      </w:r>
      <w:r>
        <w:rPr>
          <w:sz w:val="19"/>
        </w:rPr>
        <w:t>74.125-</w:t>
      </w:r>
      <w:r>
        <w:rPr>
          <w:spacing w:val="-5"/>
          <w:sz w:val="19"/>
        </w:rPr>
        <w:t>090</w:t>
      </w: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155"/>
        <w:rPr>
          <w:sz w:val="19"/>
        </w:rPr>
      </w:pPr>
    </w:p>
    <w:p>
      <w:pPr>
        <w:tabs>
          <w:tab w:pos="3774" w:val="left" w:leader="none"/>
          <w:tab w:pos="10081" w:val="left" w:leader="none"/>
        </w:tabs>
        <w:spacing w:before="1"/>
        <w:ind w:left="119" w:right="0" w:firstLine="0"/>
        <w:jc w:val="left"/>
        <w:rPr>
          <w:b/>
          <w:sz w:val="19"/>
        </w:rPr>
      </w:pPr>
      <w:r>
        <w:rPr>
          <w:rFonts w:ascii="Times New Roman"/>
          <w:color w:val="FF0000"/>
          <w:sz w:val="19"/>
          <w:highlight w:val="yellow"/>
        </w:rPr>
        <w:tab/>
      </w:r>
      <w:r>
        <w:rPr>
          <w:b/>
          <w:color w:val="FF0000"/>
          <w:sz w:val="19"/>
          <w:highlight w:val="yellow"/>
        </w:rPr>
        <w:t>ESTE</w:t>
      </w:r>
      <w:r>
        <w:rPr>
          <w:b/>
          <w:color w:val="FF0000"/>
          <w:spacing w:val="10"/>
          <w:sz w:val="19"/>
          <w:highlight w:val="yellow"/>
        </w:rPr>
        <w:t> </w:t>
      </w:r>
      <w:r>
        <w:rPr>
          <w:b/>
          <w:color w:val="FF0000"/>
          <w:sz w:val="19"/>
          <w:highlight w:val="yellow"/>
        </w:rPr>
        <w:t>PROCESSO</w:t>
      </w:r>
      <w:r>
        <w:rPr>
          <w:b/>
          <w:color w:val="FF0000"/>
          <w:spacing w:val="11"/>
          <w:sz w:val="19"/>
          <w:highlight w:val="yellow"/>
        </w:rPr>
        <w:t> </w:t>
      </w:r>
      <w:r>
        <w:rPr>
          <w:b/>
          <w:color w:val="FF0000"/>
          <w:sz w:val="19"/>
          <w:highlight w:val="yellow"/>
        </w:rPr>
        <w:t>FOI</w:t>
      </w:r>
      <w:r>
        <w:rPr>
          <w:b/>
          <w:color w:val="FF0000"/>
          <w:spacing w:val="11"/>
          <w:sz w:val="19"/>
          <w:highlight w:val="yellow"/>
        </w:rPr>
        <w:t> </w:t>
      </w:r>
      <w:r>
        <w:rPr>
          <w:b/>
          <w:color w:val="FF0000"/>
          <w:spacing w:val="-2"/>
          <w:sz w:val="19"/>
          <w:highlight w:val="yellow"/>
        </w:rPr>
        <w:t>CANCELADO</w:t>
      </w:r>
      <w:r>
        <w:rPr>
          <w:b/>
          <w:color w:val="FF0000"/>
          <w:sz w:val="19"/>
          <w:highlight w:val="yellow"/>
        </w:rPr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6"/>
        <w:rPr>
          <w:b/>
          <w:sz w:val="20"/>
        </w:rPr>
      </w:pPr>
    </w:p>
    <w:tbl>
      <w:tblPr>
        <w:tblW w:w="0" w:type="auto"/>
        <w:jc w:val="left"/>
        <w:tblInd w:w="13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5"/>
        <w:gridCol w:w="5460"/>
        <w:gridCol w:w="2084"/>
      </w:tblGrid>
      <w:tr>
        <w:trPr>
          <w:trHeight w:val="922" w:hRule="atLeast"/>
        </w:trPr>
        <w:tc>
          <w:tcPr>
            <w:tcW w:w="2425" w:type="dxa"/>
            <w:tcBorders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4"/>
              <w:rPr>
                <w:b/>
                <w:sz w:val="19"/>
              </w:rPr>
            </w:pPr>
          </w:p>
          <w:p>
            <w:pPr>
              <w:pStyle w:val="TableParagraph"/>
              <w:ind w:left="65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FORNECEDOR</w:t>
            </w:r>
          </w:p>
        </w:tc>
        <w:tc>
          <w:tcPr>
            <w:tcW w:w="54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4"/>
              <w:rPr>
                <w:b/>
                <w:sz w:val="19"/>
              </w:rPr>
            </w:pPr>
          </w:p>
          <w:p>
            <w:pPr>
              <w:pStyle w:val="TableParagraph"/>
              <w:ind w:left="48" w:right="1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OBJETO</w:t>
            </w:r>
          </w:p>
        </w:tc>
        <w:tc>
          <w:tcPr>
            <w:tcW w:w="20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4"/>
              <w:rPr>
                <w:b/>
                <w:sz w:val="19"/>
              </w:rPr>
            </w:pPr>
          </w:p>
          <w:p>
            <w:pPr>
              <w:pStyle w:val="TableParagraph"/>
              <w:ind w:left="281"/>
              <w:rPr>
                <w:b/>
                <w:sz w:val="19"/>
              </w:rPr>
            </w:pPr>
            <w:r>
              <w:rPr>
                <w:b/>
                <w:sz w:val="19"/>
              </w:rPr>
              <w:t>VALOR</w:t>
            </w:r>
            <w:r>
              <w:rPr>
                <w:b/>
                <w:spacing w:val="12"/>
                <w:sz w:val="19"/>
              </w:rPr>
              <w:t> </w:t>
            </w:r>
            <w:r>
              <w:rPr>
                <w:b/>
                <w:sz w:val="19"/>
              </w:rPr>
              <w:t>MENSAL</w:t>
            </w:r>
            <w:r>
              <w:rPr>
                <w:b/>
                <w:spacing w:val="11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R$</w:t>
            </w:r>
          </w:p>
        </w:tc>
      </w:tr>
      <w:tr>
        <w:trPr>
          <w:trHeight w:val="2403" w:hRule="atLeast"/>
        </w:trPr>
        <w:tc>
          <w:tcPr>
            <w:tcW w:w="242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before="127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48" w:right="11"/>
              <w:jc w:val="center"/>
              <w:rPr>
                <w:sz w:val="17"/>
              </w:rPr>
            </w:pPr>
            <w:r>
              <w:rPr>
                <w:sz w:val="17"/>
              </w:rPr>
              <w:t>LOCAÇÃO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EQUIPAMENTOS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19"/>
                <w:sz w:val="17"/>
              </w:rPr>
              <w:t> </w:t>
            </w:r>
            <w:r>
              <w:rPr>
                <w:spacing w:val="-2"/>
                <w:sz w:val="17"/>
              </w:rPr>
              <w:t>HIGIENIZAÇÃO</w:t>
            </w: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before="169"/>
              <w:rPr>
                <w:b/>
                <w:sz w:val="17"/>
              </w:rPr>
            </w:pPr>
          </w:p>
          <w:p>
            <w:pPr>
              <w:pStyle w:val="TableParagraph"/>
              <w:spacing w:line="218" w:lineRule="exact"/>
              <w:ind w:left="48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CONTÍNUO</w:t>
            </w:r>
          </w:p>
        </w:tc>
        <w:tc>
          <w:tcPr>
            <w:tcW w:w="208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sz w:val="19"/>
        </w:rPr>
      </w:pPr>
    </w:p>
    <w:p>
      <w:pPr>
        <w:pStyle w:val="BodyText"/>
        <w:spacing w:before="18"/>
        <w:rPr>
          <w:b/>
          <w:sz w:val="19"/>
        </w:rPr>
      </w:pPr>
    </w:p>
    <w:p>
      <w:pPr>
        <w:tabs>
          <w:tab w:pos="6342" w:val="left" w:leader="none"/>
        </w:tabs>
        <w:spacing w:before="0"/>
        <w:ind w:left="4970" w:right="0" w:firstLine="0"/>
        <w:jc w:val="left"/>
        <w:rPr>
          <w:position w:val="1"/>
          <w:sz w:val="19"/>
        </w:rPr>
      </w:pPr>
      <w:r>
        <w:rPr>
          <w:sz w:val="19"/>
        </w:rPr>
        <w:t>Goiânia</w:t>
      </w:r>
      <w:r>
        <w:rPr>
          <w:spacing w:val="7"/>
          <w:sz w:val="19"/>
        </w:rPr>
        <w:t> </w:t>
      </w:r>
      <w:r>
        <w:rPr>
          <w:sz w:val="19"/>
        </w:rPr>
        <w:t>-</w:t>
      </w:r>
      <w:r>
        <w:rPr>
          <w:spacing w:val="9"/>
          <w:sz w:val="19"/>
        </w:rPr>
        <w:t> </w:t>
      </w:r>
      <w:r>
        <w:rPr>
          <w:spacing w:val="-5"/>
          <w:sz w:val="19"/>
        </w:rPr>
        <w:t>GO</w:t>
      </w:r>
      <w:r>
        <w:rPr>
          <w:sz w:val="19"/>
        </w:rPr>
        <w:tab/>
      </w:r>
      <w:r>
        <w:rPr>
          <w:position w:val="1"/>
          <w:sz w:val="19"/>
        </w:rPr>
        <w:t>17</w:t>
      </w:r>
      <w:r>
        <w:rPr>
          <w:spacing w:val="4"/>
          <w:position w:val="1"/>
          <w:sz w:val="19"/>
        </w:rPr>
        <w:t> </w:t>
      </w:r>
      <w:r>
        <w:rPr>
          <w:position w:val="1"/>
          <w:sz w:val="19"/>
        </w:rPr>
        <w:t>de</w:t>
      </w:r>
      <w:r>
        <w:rPr>
          <w:spacing w:val="5"/>
          <w:position w:val="1"/>
          <w:sz w:val="19"/>
        </w:rPr>
        <w:t> </w:t>
      </w:r>
      <w:r>
        <w:rPr>
          <w:position w:val="1"/>
          <w:sz w:val="19"/>
        </w:rPr>
        <w:t>janeiro</w:t>
      </w:r>
      <w:r>
        <w:rPr>
          <w:spacing w:val="7"/>
          <w:position w:val="1"/>
          <w:sz w:val="19"/>
        </w:rPr>
        <w:t> </w:t>
      </w:r>
      <w:r>
        <w:rPr>
          <w:position w:val="1"/>
          <w:sz w:val="19"/>
        </w:rPr>
        <w:t>de</w:t>
      </w:r>
      <w:r>
        <w:rPr>
          <w:spacing w:val="5"/>
          <w:position w:val="1"/>
          <w:sz w:val="19"/>
        </w:rPr>
        <w:t> </w:t>
      </w:r>
      <w:r>
        <w:rPr>
          <w:spacing w:val="-4"/>
          <w:position w:val="1"/>
          <w:sz w:val="19"/>
        </w:rPr>
        <w:t>2025</w:t>
      </w:r>
    </w:p>
    <w:sectPr>
      <w:type w:val="continuous"/>
      <w:pgSz w:w="11910" w:h="16840"/>
      <w:pgMar w:top="1100" w:bottom="280" w:left="850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40"/>
      <w:ind w:left="120" w:right="128"/>
      <w:jc w:val="center"/>
    </w:pPr>
    <w:rPr>
      <w:rFonts w:ascii="Calibri" w:hAnsi="Calibri" w:eastAsia="Calibri" w:cs="Calibri"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Pinho dos Santos Noronha</dc:creator>
  <dc:title>FOLLOW UP SERVIÇOS - GOIÁS - 2024.xlsx</dc:title>
  <dcterms:created xsi:type="dcterms:W3CDTF">2025-01-17T17:28:28Z</dcterms:created>
  <dcterms:modified xsi:type="dcterms:W3CDTF">2025-01-17T17:28:28Z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LastSaved">
    <vt:filetime>2025-01-17T00:00:00Z</vt:filetime>
  </property>
  <property fmtid="{D5CDD505-2E9C-101B-9397-08002B2CF9AE}" pid="4" name="Producer">
    <vt:lpwstr>Microsoft: Print To PDF</vt:lpwstr>
  </property>
</Properties>
</file>