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45"/>
        <w:ind w:left="176" w:right="155" w:firstLine="0"/>
        <w:jc w:val="center"/>
        <w:rPr>
          <w:sz w:val="22"/>
        </w:rPr>
      </w:pPr>
      <w:r>
        <w:rPr>
          <w:sz w:val="22"/>
        </w:rPr>
        <w:t>2024286TP60855HEMU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1" w:lineRule="auto"/>
        <w:ind w:left="176" w:right="168"/>
        <w:jc w:val="center"/>
      </w:pPr>
      <w:r>
        <w:rPr/>
        <w:t>O Instituto de Gestão e Humanização – IGH, entidade de direito privado e sem fins lucrativos, classificado</w:t>
      </w:r>
      <w:r>
        <w:rPr>
          <w:spacing w:val="-43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3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73.560005pt;margin-top:11.979952pt;width:447.85pt;height:32.8pt;mso-position-horizontal-relative:page;mso-position-vertical-relative:paragraph;z-index:-15728640;mso-wrap-distance-left:0;mso-wrap-distance-right:0" coordorigin="1471,240" coordsize="8957,656">
            <v:rect style="position:absolute;left:1471;top:239;width:8957;height:656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1;top:290;width:250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PERÍODO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280;top:666;width:378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recebimentos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76;top:676;width:166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julho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76" w:right="15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76" w:right="170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6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2.240005pt;margin-top:11.056474pt;width:450pt;height:102.4pt;mso-position-horizontal-relative:page;mso-position-vertical-relative:paragraph;z-index:-15728128;mso-wrap-distance-left:0;mso-wrap-distance-right:0" coordorigin="1445,221" coordsize="9000,2048">
            <v:shape style="position:absolute;left:1444;top:221;width:9000;height:2048" coordorigin="1445,221" coordsize="9000,2048" path="m10445,221l10409,221,10409,257,10409,497,10409,514,10409,2232,1481,2232,1481,514,10409,514,10409,497,1481,497,1481,257,10409,257,10409,221,1481,221,1445,221,1445,2268,1481,2268,10409,2268,10445,2268,10445,2232,10445,257,10445,221xe" filled="true" fillcolor="#000000" stroked="false">
              <v:path arrowok="t"/>
              <v:fill type="solid"/>
            </v:shape>
            <v:shape style="position:absolute;left:1480;top:513;width:8928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3272" w:right="327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CONFECÇÃO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UNIFORMES</w:t>
                    </w:r>
                  </w:p>
                </w:txbxContent>
              </v:textbox>
              <w10:wrap type="none"/>
            </v:shape>
            <v:shape style="position:absolute;left:1480;top:257;width:8928;height:240" type="#_x0000_t202" filled="true" fillcolor="#d8d8d8" stroked="false">
              <v:textbox inset="0,0,0,0">
                <w:txbxContent>
                  <w:p>
                    <w:pPr>
                      <w:spacing w:line="239" w:lineRule="exact" w:before="0"/>
                      <w:ind w:left="3272" w:right="327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DESCRIÇÃO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169"/>
      </w:pPr>
      <w:r>
        <w:rPr/>
        <w:t>Prorroga-se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3"/>
        </w:rPr>
        <w:t> </w:t>
      </w:r>
      <w:r>
        <w:rPr/>
        <w:t>comerciais</w:t>
      </w:r>
      <w:r>
        <w:rPr>
          <w:spacing w:val="4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61" w:lineRule="auto" w:before="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60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2024-07-26T17:46:29Z</dcterms:created>
  <dcterms:modified xsi:type="dcterms:W3CDTF">2024-07-26T17:46:29Z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</Properties>
</file>