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38" w:right="138"/>
        <w:jc w:val="center"/>
      </w:pPr>
      <w:r>
        <w:rPr>
          <w:spacing w:val="-2"/>
        </w:rPr>
        <w:t>2024410TP64442HEMU</w:t>
      </w:r>
    </w:p>
    <w:p>
      <w:pPr>
        <w:pStyle w:val="BodyText"/>
        <w:spacing w:before="35"/>
      </w:pPr>
    </w:p>
    <w:p>
      <w:pPr>
        <w:pStyle w:val="BodyText"/>
        <w:spacing w:line="256" w:lineRule="auto"/>
        <w:ind w:left="126" w:right="138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1"/>
        <w:ind w:left="140" w:right="138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3"/>
        <w:ind w:left="138" w:right="138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4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z w:val="19"/>
              </w:rPr>
              <w:t>TOTAL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35"/>
              <w:rPr>
                <w:sz w:val="17"/>
              </w:rPr>
            </w:pPr>
          </w:p>
          <w:p>
            <w:pPr>
              <w:pStyle w:val="TableParagraph"/>
              <w:spacing w:line="266" w:lineRule="auto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BRFIBRA </w:t>
            </w:r>
            <w:r>
              <w:rPr>
                <w:sz w:val="17"/>
              </w:rPr>
              <w:t>TELECOMUNICACOES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31"/>
              <w:rPr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73.972.002/0001-</w:t>
            </w:r>
            <w:r>
              <w:rPr>
                <w:spacing w:val="-5"/>
                <w:sz w:val="19"/>
              </w:rPr>
              <w:t>16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48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FORNECIMENTO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LINK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INTERNET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DEDICADO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4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CONTÍNUO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536" w:val="left" w:leader="none"/>
              </w:tabs>
              <w:spacing w:before="1"/>
              <w:ind w:left="8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889,00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18"/>
        <w:rPr>
          <w:sz w:val="19"/>
        </w:rPr>
      </w:pPr>
    </w:p>
    <w:p>
      <w:pPr>
        <w:tabs>
          <w:tab w:pos="6352" w:val="left" w:leader="none"/>
        </w:tabs>
        <w:spacing w:before="0"/>
        <w:ind w:left="4980" w:right="0" w:firstLine="0"/>
        <w:jc w:val="left"/>
        <w:rPr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21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outubro</w:t>
      </w:r>
      <w:r>
        <w:rPr>
          <w:spacing w:val="8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8"/>
          <w:position w:val="1"/>
          <w:sz w:val="19"/>
        </w:rPr>
        <w:t> </w:t>
      </w:r>
      <w:r>
        <w:rPr>
          <w:spacing w:val="-4"/>
          <w:position w:val="1"/>
          <w:sz w:val="19"/>
        </w:rPr>
        <w:t>2024</w:t>
      </w:r>
    </w:p>
    <w:sectPr>
      <w:type w:val="continuous"/>
      <w:pgSz w:w="11910" w:h="16840"/>
      <w:pgMar w:top="110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30" w:right="13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2024-10-21T15:41:07Z</dcterms:created>
  <dcterms:modified xsi:type="dcterms:W3CDTF">2024-10-21T15:41:07Z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Microsoft: Print To PDF</vt:lpwstr>
  </property>
</Properties>
</file>