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1313" w:right="1313" w:firstLine="0"/>
        <w:jc w:val="center"/>
        <w:rPr>
          <w:sz w:val="21"/>
        </w:rPr>
      </w:pPr>
      <w:r>
        <w:rPr>
          <w:spacing w:val="-2"/>
          <w:sz w:val="21"/>
        </w:rPr>
        <w:t>2025193TP73944HEMU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64" w:right="174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13" w:right="1313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ind w:left="1313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195" w:val="left" w:leader="none"/>
        </w:tabs>
        <w:spacing w:before="137"/>
        <w:ind w:left="0" w:right="981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20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março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tabs>
          <w:tab w:pos="4631" w:val="left" w:leader="none"/>
        </w:tabs>
        <w:spacing w:before="23"/>
        <w:ind w:left="0" w:right="981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26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março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297" w:right="1313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1304" w:right="131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182" w:right="195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1" w:right="15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09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3141" w:hanging="2739"/>
              <w:rPr>
                <w:sz w:val="19"/>
              </w:rPr>
            </w:pPr>
            <w:r>
              <w:rPr>
                <w:sz w:val="19"/>
              </w:rPr>
              <w:t>AQUISIÇÃO DE SOFTWARE PARA ANALISE ESTATÍSTICA EM CIÊNCIAS SOCIAIS, SAÚDE, MARKETING, EDUCAÇÃO E OUTRAS ÁREAS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182" w:right="19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78" w:val="left" w:leader="none"/>
        </w:tabs>
        <w:ind w:left="3891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março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12" w:right="131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97" w:right="135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2025-03-20T14:26:55Z</dcterms:created>
  <dcterms:modified xsi:type="dcterms:W3CDTF">2025-03-20T14:26:55Z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Microsoft: Print To PDF</vt:lpwstr>
  </property>
</Properties>
</file>